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acima do painel, com curadoria manual de links do portal da SENAPPEN relacionados à Onasp, à Rede de Ouvidorias e aos canais de atendimento, em blocos curtos sem marcadores;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demandas, com os normativos basilares atualmente disponíveis na pasta documental correspondente, no mesmo padrão de blocos curtos sem marcadores;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Inserir, acima do painel de tratamento de demandas,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com curadoria manual de notícias do portal da SENAPPEN, em blocos curtos sem marcadores, com link em destaque e descrição breve.</w:t>
      </w:r>
    </w:p>
    <w:p>
      <w:pPr>
        <w:pStyle w:val="Compact"/>
        <w:numPr>
          <w:ilvl w:val="0"/>
          <w:numId w:val="1004"/>
        </w:numPr>
      </w:pPr>
      <w:r>
        <w:t xml:space="preserve">Inserir, abaixo do painel de tratamento de demandas,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com os normativos basilares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, no mesmo padrão visual de blocos curtos sem marcadores.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inclusão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0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Documentação/Banner_Ema_Presidio_Evaristo.png</w:t>
      </w:r>
    </w:p>
    <w:bookmarkEnd w:id="29"/>
    <w:bookmarkEnd w:id="30"/>
    <w:bookmarkStart w:id="31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Documentação/SEI_35491773_Despacho_486.pdf</w:t>
      </w:r>
    </w:p>
    <w:bookmarkEnd w:id="31"/>
    <w:bookmarkStart w:id="32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8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8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8"/>
        </w:numPr>
      </w:pPr>
      <w:r>
        <w:t xml:space="preserve">observações de curadoria interna, diagnóstico ou memória operacional como se fossem conteúdo público.</w:t>
      </w:r>
    </w:p>
    <w:bookmarkEnd w:id="32"/>
    <w:bookmarkStart w:id="33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19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2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4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5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7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8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fica abaixo do painel de tratamento de demandas.</w:t>
      </w:r>
    </w:p>
    <w:p>
      <w:pPr>
        <w:pStyle w:val="Compact"/>
        <w:numPr>
          <w:ilvl w:val="0"/>
          <w:numId w:val="1030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3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6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7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8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39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0"/>
        </w:numPr>
      </w:pPr>
      <w:r>
        <w:t xml:space="preserve">Foi feita leitura final para eliminar erro de digitação, inconsistência de nome de arquivo ou divergência de nomenclatura.</w:t>
      </w:r>
    </w:p>
    <w:bookmarkEnd w:id="33"/>
    <w:bookmarkStart w:id="34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1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2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3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4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5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4"/>
    <w:bookmarkStart w:id="35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6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6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6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6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6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Não usar o diário de bordo como documento principal de instrução externa; ele deve permanecer como memória interna.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2026-05-13T12:53:05Z</dcterms:created>
  <dcterms:modified xsi:type="dcterms:W3CDTF">2026-05-13T12:53:05Z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