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Kapitel 7 – 18-Phasen-Modell</w:t>
      </w:r>
    </w:p>
    <w:p>
      <w:r>
        <w:rPr>
          <w:b/>
          <w:color w:val="1E375A"/>
          <w:sz w:val="25"/>
        </w:rPr>
        <w:t>Der durchgängige Projektpfad des adtender Selection Frameworks von der Idee bis zur Übergabe in die Umsetzung</w:t>
      </w:r>
    </w:p>
    <w:p>
      <w:r>
        <w:t>Das 18-Phasen-Modell ist das operative Rückgrat des adtender Selection Frameworks. Es übersetzt die in den vorherigen Kapiteln beschriebenen Beratungsprinzipien, Rollen und Governance-Mechanismen in einen klaren Projektablauf. Während Kapitel 4 das Vorgehensmodell grundsätzlich erläutert und Kapitel 6 die Steuerungslogik beschreibt, zeigt dieses Kapitel, wie ein Auswahlprojekt konkret geführt wird: von der ersten strategischen Einordnung über Capabilities, Sollprozesse, Anforderungen, Ausschreibung und Anbieterbewertung bis zur Entscheidung, Vertragsverhandlung und Übergabe an die Implementierung.</w:t>
      </w:r>
    </w:p>
    <w:p>
      <w:r>
        <w:t>Das Modell ist bewusst nicht als starres Wasserfallmodell zu verstehen. Es definiert eine fachlich sinnvolle Reihenfolge, erlaubt aber kontrollierte Iterationen. Neue Erkenntnisse aus Workshops, Marktanalysen oder Anbieterfragen können in frühere Arbeitsergebnisse zurückwirken. Entscheidend ist, dass diese Rückkopplungen gesteuert, dokumentiert und freigegeben erfolgen. Das 18-Phasen-Modell verbindet damit Struktur und Flexibilität.</w:t>
      </w:r>
    </w:p>
    <w:p>
      <w:r>
        <w:t>Die Phasen sind so angeordnet, dass jede Phase ein belastbares Ergebnis für die nächste Phase liefert. Strategische Leitplanken bilden die Grundlage für Capabilities. Capabilities strukturieren Sollprozesse und Anforderungen. Anforderungen bilden die Grundlage für Lastenheft und Bewertung. Bewertungskriterien steuern Ausschreibung, Präsentationen und Entscheidung. Die Entscheidung wiederum bereitet Vertrag und Implementierung vor. Dadurch entsteht eine Traceability, die im gesamten Handbuch immer wieder aufgegriffen wird.</w:t>
      </w:r>
    </w:p>
    <w:p>
      <w:pPr>
        <w:pStyle w:val="Heading2"/>
      </w:pPr>
      <w:r>
        <w:t>7.1 Warum ein 18-Phasen-Modell notwendig ist</w:t>
      </w:r>
    </w:p>
    <w:p>
      <w:r>
        <w:t>Softwareauswahlprojekte leiden häufig nicht an fehlender Aktivität, sondern an fehlender Ordnung. Es finden Workshops statt, Anbieter werden eingeladen, Präsentationen werden bewertet, Preisblätter werden verglichen und Entscheidungsvorlagen werden erstellt. Dennoch bleibt oft unklar, ob die Reihenfolge der Aktivitäten sinnvoll war, ob die richtigen Grundlagen vorlagen und ob die Entscheidung tatsächlich aus den Unternehmenszielen abgeleitet wurde.</w:t>
      </w:r>
    </w:p>
    <w:p>
      <w:r>
        <w:t>Ein Phasenmodell schafft hier methodische Disziplin. Es zwingt das Projektteam, bestimmte Fragen zu beantworten, bevor es in die nächste Stufe wechselt. Es verhindert, dass Anbieter kontaktiert werden, bevor Zielbild und Anforderungen ausreichend beschrieben sind. Es verhindert, dass Bewertungen durchgeführt werden, bevor die Bewertungslogik abgestimmt ist. Es verhindert, dass Vertragsverhandlungen beginnen, bevor Leistungsumfang, offene Punkte und Risiken transparent sind.</w:t>
      </w:r>
    </w:p>
    <w:p>
      <w:r>
        <w:t>Das ASF nutzt 18 Phasen, weil Softwareauswahlprojekte mehrere unterschiedliche Logiken miteinander verbinden. Es gibt eine strategische Logik, eine fachliche Logik, eine technische Logik, eine kommerzielle Logik, eine Governance-Logik und eine Veränderungslogik. Ein zu grobes Modell würde diese Perspektiven vermischen. Ein zu kleinteiliges Modell würde das Projekt unnötig bürokratisieren. Die 18 Phasen bilden einen pragmatischen Mittelweg: ausreichend detailliert, um Beratungsarbeit zu steuern, aber schlank genug, um in realen Projekten anwendbar zu bleiben.</w:t>
      </w:r>
    </w:p>
    <w:p>
      <w:r>
        <w:t>Für den Berater ist das Modell ein Führungsinstrument. Es hilft, dem Kunden zu erklären, warum bestimmte Arbeitsschritte notwendig sind und warum eine voreilige Anbieterpräsentation nicht zielführend ist. Gleichzeitig bietet es dem Berater eine Struktur für Projektplanung, Workshopdesign, Deliverables, Quality Gates und Entscheidungsvorlagen.</w:t>
      </w:r>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0"/>
              </w:rPr>
              <w:t>Beraterhinweis</w:t>
            </w:r>
          </w:p>
          <w:p>
            <w:pPr>
              <w:pStyle w:val="ASFBox"/>
            </w:pPr>
            <w:r>
              <w:t>Das 18-Phasen-Modell sollte im Kick-off nicht als starre Projektbürokratie vorgestellt werden, sondern als Sicherheitsnetz für die Entscheidung. Der Nutzen liegt darin, dass jede spätere Empfehlung auf nachvollziehbaren Grundlagen beruht. Der Berater sollte dem Kunden erklären: Je besser die frühen Phasen bearbeitet werden, desto weniger Reibung entsteht in Ausschreibung, Bewertung und Implementierung.</w:t>
            </w:r>
          </w:p>
        </w:tc>
      </w:tr>
    </w:tbl>
    <w:p/>
    <w:p>
      <w:pPr>
        <w:pStyle w:val="Heading2"/>
      </w:pPr>
      <w:r>
        <w:t>7.2 Überblick über die 18 Phasen</w:t>
      </w:r>
    </w:p>
    <w:p>
      <w:r>
        <w:t>Die 18 Phasen des ASF sind entlang eines natürlichen Entscheidungsflusses aufgebaut. Zunächst wird das Projekt begründet, abgegrenzt und organisatorisch aufgesetzt. Danach werden Strategie, Stakeholder, Ist-Situation und Zielbild geklärt. Anschließend werden Business Capabilities, Sollprozesse sowie funktionale und nicht-funktionale Anforderungen entwickelt. Auf dieser Grundlage entstehen Bewertungsmodell, Lastenheft, Marktanalyse und Ausschreibung. Danach folgen Anbieterbewertung, Demonstrationen, Gesamtbewertung, Proof of Concept, Vertragsverhandlung und Übergabe in die Implementierung.</w:t>
      </w:r>
    </w:p>
    <w:p>
      <w:r>
        <w:t>Die folgende Übersicht zeigt die Phasen in ihrem Zusammenhang. In späteren Teilen des Handbuchs werden die einzelnen Phasen jeweils ausführlich beschrieben. Dieses Kapitel liefert zunächst die Gesamtlogik und beschreibt, worauf der Berater in jeder Phase achten muss.</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E375A"/>
          </w:tcPr>
          <w:p>
            <w:r>
              <w:rPr>
                <w:b/>
                <w:color w:val="FFFFFF"/>
                <w:sz w:val="16"/>
              </w:rPr>
              <w:t>Phase</w:t>
            </w:r>
          </w:p>
        </w:tc>
        <w:tc>
          <w:tcPr>
            <w:tcW w:type="dxa" w:w="3211"/>
            <w:vAlign w:val="center"/>
            <w:shd w:fill="1E375A"/>
          </w:tcPr>
          <w:p>
            <w:r>
              <w:rPr>
                <w:b/>
                <w:color w:val="FFFFFF"/>
                <w:sz w:val="16"/>
              </w:rPr>
              <w:t>Bezeichnung</w:t>
            </w:r>
          </w:p>
        </w:tc>
        <w:tc>
          <w:tcPr>
            <w:tcW w:type="dxa" w:w="3211"/>
            <w:vAlign w:val="center"/>
            <w:shd w:fill="1E375A"/>
          </w:tcPr>
          <w:p>
            <w:r>
              <w:rPr>
                <w:b/>
                <w:color w:val="FFFFFF"/>
                <w:sz w:val="16"/>
              </w:rPr>
              <w:t>Zweck</w:t>
            </w:r>
          </w:p>
        </w:tc>
      </w:tr>
      <w:tr>
        <w:tc>
          <w:tcPr>
            <w:tcW w:type="dxa" w:w="3211"/>
            <w:vAlign w:val="top"/>
          </w:tcPr>
          <w:p>
            <w:r>
              <w:rPr>
                <w:sz w:val="15"/>
              </w:rPr>
              <w:t>1</w:t>
            </w:r>
          </w:p>
        </w:tc>
        <w:tc>
          <w:tcPr>
            <w:tcW w:type="dxa" w:w="3211"/>
            <w:vAlign w:val="top"/>
          </w:tcPr>
          <w:p>
            <w:r>
              <w:rPr>
                <w:sz w:val="15"/>
              </w:rPr>
              <w:t>Projektanstoß und Managementauftrag</w:t>
            </w:r>
          </w:p>
        </w:tc>
        <w:tc>
          <w:tcPr>
            <w:tcW w:type="dxa" w:w="3211"/>
            <w:vAlign w:val="top"/>
          </w:tcPr>
          <w:p>
            <w:r>
              <w:rPr>
                <w:sz w:val="15"/>
              </w:rPr>
              <w:t>Projektbedarf, Sponsoring und grundsätzliche Zielrichtung klären</w:t>
            </w:r>
          </w:p>
        </w:tc>
      </w:tr>
      <w:tr>
        <w:tc>
          <w:tcPr>
            <w:tcW w:type="dxa" w:w="3211"/>
            <w:vAlign w:val="top"/>
          </w:tcPr>
          <w:p>
            <w:r>
              <w:rPr>
                <w:sz w:val="15"/>
              </w:rPr>
              <w:t>2</w:t>
            </w:r>
          </w:p>
        </w:tc>
        <w:tc>
          <w:tcPr>
            <w:tcW w:type="dxa" w:w="3211"/>
            <w:vAlign w:val="top"/>
          </w:tcPr>
          <w:p>
            <w:r>
              <w:rPr>
                <w:sz w:val="15"/>
              </w:rPr>
              <w:t>Projektinitialisierung und Governance</w:t>
            </w:r>
          </w:p>
        </w:tc>
        <w:tc>
          <w:tcPr>
            <w:tcW w:type="dxa" w:w="3211"/>
            <w:vAlign w:val="top"/>
          </w:tcPr>
          <w:p>
            <w:r>
              <w:rPr>
                <w:sz w:val="15"/>
              </w:rPr>
              <w:t>Rollen, Gremien, Vorgehen, Zeitplan und Quality Gates aufsetzen</w:t>
            </w:r>
          </w:p>
        </w:tc>
      </w:tr>
      <w:tr>
        <w:tc>
          <w:tcPr>
            <w:tcW w:type="dxa" w:w="3211"/>
            <w:vAlign w:val="top"/>
          </w:tcPr>
          <w:p>
            <w:r>
              <w:rPr>
                <w:sz w:val="15"/>
              </w:rPr>
              <w:t>3</w:t>
            </w:r>
          </w:p>
        </w:tc>
        <w:tc>
          <w:tcPr>
            <w:tcW w:type="dxa" w:w="3211"/>
            <w:vAlign w:val="top"/>
          </w:tcPr>
          <w:p>
            <w:r>
              <w:rPr>
                <w:sz w:val="15"/>
              </w:rPr>
              <w:t>Stakeholderanalyse und Projektumfeld</w:t>
            </w:r>
          </w:p>
        </w:tc>
        <w:tc>
          <w:tcPr>
            <w:tcW w:type="dxa" w:w="3211"/>
            <w:vAlign w:val="top"/>
          </w:tcPr>
          <w:p>
            <w:r>
              <w:rPr>
                <w:sz w:val="15"/>
              </w:rPr>
              <w:t>Betroffene Bereiche, Interessen, Risiken und Kommunikationsbedarf verstehen</w:t>
            </w:r>
          </w:p>
        </w:tc>
      </w:tr>
      <w:tr>
        <w:tc>
          <w:tcPr>
            <w:tcW w:type="dxa" w:w="3211"/>
            <w:vAlign w:val="top"/>
          </w:tcPr>
          <w:p>
            <w:r>
              <w:rPr>
                <w:sz w:val="15"/>
              </w:rPr>
              <w:t>4</w:t>
            </w:r>
          </w:p>
        </w:tc>
        <w:tc>
          <w:tcPr>
            <w:tcW w:type="dxa" w:w="3211"/>
            <w:vAlign w:val="top"/>
          </w:tcPr>
          <w:p>
            <w:r>
              <w:rPr>
                <w:sz w:val="15"/>
              </w:rPr>
              <w:t>Strategische Leitplanken und Zielbild</w:t>
            </w:r>
          </w:p>
        </w:tc>
        <w:tc>
          <w:tcPr>
            <w:tcW w:type="dxa" w:w="3211"/>
            <w:vAlign w:val="top"/>
          </w:tcPr>
          <w:p>
            <w:r>
              <w:rPr>
                <w:sz w:val="15"/>
              </w:rPr>
              <w:t>Langfristige Ziele, Nicht-Ziele und Entscheidungsprinzipien festlegen</w:t>
            </w:r>
          </w:p>
        </w:tc>
      </w:tr>
      <w:tr>
        <w:tc>
          <w:tcPr>
            <w:tcW w:type="dxa" w:w="3211"/>
            <w:vAlign w:val="top"/>
          </w:tcPr>
          <w:p>
            <w:r>
              <w:rPr>
                <w:sz w:val="15"/>
              </w:rPr>
              <w:t>5</w:t>
            </w:r>
          </w:p>
        </w:tc>
        <w:tc>
          <w:tcPr>
            <w:tcW w:type="dxa" w:w="3211"/>
            <w:vAlign w:val="top"/>
          </w:tcPr>
          <w:p>
            <w:r>
              <w:rPr>
                <w:sz w:val="15"/>
              </w:rPr>
              <w:t>Ist-Analyse und Ausgangssituation</w:t>
            </w:r>
          </w:p>
        </w:tc>
        <w:tc>
          <w:tcPr>
            <w:tcW w:type="dxa" w:w="3211"/>
            <w:vAlign w:val="top"/>
          </w:tcPr>
          <w:p>
            <w:r>
              <w:rPr>
                <w:sz w:val="15"/>
              </w:rPr>
              <w:t>Systemlandschaft, Prozesse, Daten, Schwachstellen und Rahmenbedingungen erfassen</w:t>
            </w:r>
          </w:p>
        </w:tc>
      </w:tr>
      <w:tr>
        <w:tc>
          <w:tcPr>
            <w:tcW w:type="dxa" w:w="3211"/>
            <w:vAlign w:val="top"/>
          </w:tcPr>
          <w:p>
            <w:r>
              <w:rPr>
                <w:sz w:val="15"/>
              </w:rPr>
              <w:t>6</w:t>
            </w:r>
          </w:p>
        </w:tc>
        <w:tc>
          <w:tcPr>
            <w:tcW w:type="dxa" w:w="3211"/>
            <w:vAlign w:val="top"/>
          </w:tcPr>
          <w:p>
            <w:r>
              <w:rPr>
                <w:sz w:val="15"/>
              </w:rPr>
              <w:t>Capability Map</w:t>
            </w:r>
          </w:p>
        </w:tc>
        <w:tc>
          <w:tcPr>
            <w:tcW w:type="dxa" w:w="3211"/>
            <w:vAlign w:val="top"/>
          </w:tcPr>
          <w:p>
            <w:r>
              <w:rPr>
                <w:sz w:val="15"/>
              </w:rPr>
              <w:t>Benötigte geschäftliche Fähigkeiten strukturieren und priorisieren</w:t>
            </w:r>
          </w:p>
        </w:tc>
      </w:tr>
      <w:tr>
        <w:tc>
          <w:tcPr>
            <w:tcW w:type="dxa" w:w="3211"/>
            <w:vAlign w:val="top"/>
          </w:tcPr>
          <w:p>
            <w:r>
              <w:rPr>
                <w:sz w:val="15"/>
              </w:rPr>
              <w:t>7</w:t>
            </w:r>
          </w:p>
        </w:tc>
        <w:tc>
          <w:tcPr>
            <w:tcW w:type="dxa" w:w="3211"/>
            <w:vAlign w:val="top"/>
          </w:tcPr>
          <w:p>
            <w:r>
              <w:rPr>
                <w:sz w:val="15"/>
              </w:rPr>
              <w:t>Sollprozesse und Zielorganisation</w:t>
            </w:r>
          </w:p>
        </w:tc>
        <w:tc>
          <w:tcPr>
            <w:tcW w:type="dxa" w:w="3211"/>
            <w:vAlign w:val="top"/>
          </w:tcPr>
          <w:p>
            <w:r>
              <w:rPr>
                <w:sz w:val="15"/>
              </w:rPr>
              <w:t>Zukünftige Arbeitsweise, Rollen und End-to-End-Prozesse beschreiben</w:t>
            </w:r>
          </w:p>
        </w:tc>
      </w:tr>
      <w:tr>
        <w:tc>
          <w:tcPr>
            <w:tcW w:type="dxa" w:w="3211"/>
            <w:vAlign w:val="top"/>
          </w:tcPr>
          <w:p>
            <w:r>
              <w:rPr>
                <w:sz w:val="15"/>
              </w:rPr>
              <w:t>8</w:t>
            </w:r>
          </w:p>
        </w:tc>
        <w:tc>
          <w:tcPr>
            <w:tcW w:type="dxa" w:w="3211"/>
            <w:vAlign w:val="top"/>
          </w:tcPr>
          <w:p>
            <w:r>
              <w:rPr>
                <w:sz w:val="15"/>
              </w:rPr>
              <w:t>Funktionale Anforderungen</w:t>
            </w:r>
          </w:p>
        </w:tc>
        <w:tc>
          <w:tcPr>
            <w:tcW w:type="dxa" w:w="3211"/>
            <w:vAlign w:val="top"/>
          </w:tcPr>
          <w:p>
            <w:r>
              <w:rPr>
                <w:sz w:val="15"/>
              </w:rPr>
              <w:t>Fachliche Anforderungen aus Capabilities und Sollprozessen ableiten</w:t>
            </w:r>
          </w:p>
        </w:tc>
      </w:tr>
      <w:tr>
        <w:tc>
          <w:tcPr>
            <w:tcW w:type="dxa" w:w="3211"/>
            <w:vAlign w:val="top"/>
          </w:tcPr>
          <w:p>
            <w:r>
              <w:rPr>
                <w:sz w:val="15"/>
              </w:rPr>
              <w:t>9</w:t>
            </w:r>
          </w:p>
        </w:tc>
        <w:tc>
          <w:tcPr>
            <w:tcW w:type="dxa" w:w="3211"/>
            <w:vAlign w:val="top"/>
          </w:tcPr>
          <w:p>
            <w:r>
              <w:rPr>
                <w:sz w:val="15"/>
              </w:rPr>
              <w:t>Nicht-funktionale Anforderungen</w:t>
            </w:r>
          </w:p>
        </w:tc>
        <w:tc>
          <w:tcPr>
            <w:tcW w:type="dxa" w:w="3211"/>
            <w:vAlign w:val="top"/>
          </w:tcPr>
          <w:p>
            <w:r>
              <w:rPr>
                <w:sz w:val="15"/>
              </w:rPr>
              <w:t>Architektur, Security, Betrieb, Performance, Compliance und Integration definieren</w:t>
            </w:r>
          </w:p>
        </w:tc>
      </w:tr>
      <w:tr>
        <w:tc>
          <w:tcPr>
            <w:tcW w:type="dxa" w:w="3211"/>
            <w:vAlign w:val="top"/>
          </w:tcPr>
          <w:p>
            <w:r>
              <w:rPr>
                <w:sz w:val="15"/>
              </w:rPr>
              <w:t>10</w:t>
            </w:r>
          </w:p>
        </w:tc>
        <w:tc>
          <w:tcPr>
            <w:tcW w:type="dxa" w:w="3211"/>
            <w:vAlign w:val="top"/>
          </w:tcPr>
          <w:p>
            <w:r>
              <w:rPr>
                <w:sz w:val="15"/>
              </w:rPr>
              <w:t>Bewertungsmethodik</w:t>
            </w:r>
          </w:p>
        </w:tc>
        <w:tc>
          <w:tcPr>
            <w:tcW w:type="dxa" w:w="3211"/>
            <w:vAlign w:val="top"/>
          </w:tcPr>
          <w:p>
            <w:r>
              <w:rPr>
                <w:sz w:val="15"/>
              </w:rPr>
              <w:t>Kriterien, Gewichtungen, Muss-Kriterien und Scoringlogik festlegen</w:t>
            </w:r>
          </w:p>
        </w:tc>
      </w:tr>
      <w:tr>
        <w:tc>
          <w:tcPr>
            <w:tcW w:type="dxa" w:w="3211"/>
            <w:vAlign w:val="top"/>
          </w:tcPr>
          <w:p>
            <w:r>
              <w:rPr>
                <w:sz w:val="15"/>
              </w:rPr>
              <w:t>11</w:t>
            </w:r>
          </w:p>
        </w:tc>
        <w:tc>
          <w:tcPr>
            <w:tcW w:type="dxa" w:w="3211"/>
            <w:vAlign w:val="top"/>
          </w:tcPr>
          <w:p>
            <w:r>
              <w:rPr>
                <w:sz w:val="15"/>
              </w:rPr>
              <w:t>Lastenheft und Ausschreibungsunterlagen</w:t>
            </w:r>
          </w:p>
        </w:tc>
        <w:tc>
          <w:tcPr>
            <w:tcW w:type="dxa" w:w="3211"/>
            <w:vAlign w:val="top"/>
          </w:tcPr>
          <w:p>
            <w:r>
              <w:rPr>
                <w:sz w:val="15"/>
              </w:rPr>
              <w:t>Anforderungen, Rahmenbedingungen und Angebotsstruktur konsolidieren</w:t>
            </w:r>
          </w:p>
        </w:tc>
      </w:tr>
      <w:tr>
        <w:tc>
          <w:tcPr>
            <w:tcW w:type="dxa" w:w="3211"/>
            <w:vAlign w:val="top"/>
          </w:tcPr>
          <w:p>
            <w:r>
              <w:rPr>
                <w:sz w:val="15"/>
              </w:rPr>
              <w:t>12</w:t>
            </w:r>
          </w:p>
        </w:tc>
        <w:tc>
          <w:tcPr>
            <w:tcW w:type="dxa" w:w="3211"/>
            <w:vAlign w:val="top"/>
          </w:tcPr>
          <w:p>
            <w:r>
              <w:rPr>
                <w:sz w:val="15"/>
              </w:rPr>
              <w:t>Marktanalyse und Longlist</w:t>
            </w:r>
          </w:p>
        </w:tc>
        <w:tc>
          <w:tcPr>
            <w:tcW w:type="dxa" w:w="3211"/>
            <w:vAlign w:val="top"/>
          </w:tcPr>
          <w:p>
            <w:r>
              <w:rPr>
                <w:sz w:val="15"/>
              </w:rPr>
              <w:t>Geeignete Anbieter identifizieren und Markt strukturiert sondieren</w:t>
            </w:r>
          </w:p>
        </w:tc>
      </w:tr>
      <w:tr>
        <w:tc>
          <w:tcPr>
            <w:tcW w:type="dxa" w:w="3211"/>
            <w:vAlign w:val="top"/>
          </w:tcPr>
          <w:p>
            <w:r>
              <w:rPr>
                <w:sz w:val="15"/>
              </w:rPr>
              <w:t>13</w:t>
            </w:r>
          </w:p>
        </w:tc>
        <w:tc>
          <w:tcPr>
            <w:tcW w:type="dxa" w:w="3211"/>
            <w:vAlign w:val="top"/>
          </w:tcPr>
          <w:p>
            <w:r>
              <w:rPr>
                <w:sz w:val="15"/>
              </w:rPr>
              <w:t>RFI, Vorqualifizierung und Shortlist</w:t>
            </w:r>
          </w:p>
        </w:tc>
        <w:tc>
          <w:tcPr>
            <w:tcW w:type="dxa" w:w="3211"/>
            <w:vAlign w:val="top"/>
          </w:tcPr>
          <w:p>
            <w:r>
              <w:rPr>
                <w:sz w:val="15"/>
              </w:rPr>
              <w:t>Anbieter vorqualifizieren und Ausschreibungsteilnehmer auswählen</w:t>
            </w:r>
          </w:p>
        </w:tc>
      </w:tr>
      <w:tr>
        <w:tc>
          <w:tcPr>
            <w:tcW w:type="dxa" w:w="3211"/>
            <w:vAlign w:val="top"/>
          </w:tcPr>
          <w:p>
            <w:r>
              <w:rPr>
                <w:sz w:val="15"/>
              </w:rPr>
              <w:t>14</w:t>
            </w:r>
          </w:p>
        </w:tc>
        <w:tc>
          <w:tcPr>
            <w:tcW w:type="dxa" w:w="3211"/>
            <w:vAlign w:val="top"/>
          </w:tcPr>
          <w:p>
            <w:r>
              <w:rPr>
                <w:sz w:val="15"/>
              </w:rPr>
              <w:t>RFP und Bieterkommunikation</w:t>
            </w:r>
          </w:p>
        </w:tc>
        <w:tc>
          <w:tcPr>
            <w:tcW w:type="dxa" w:w="3211"/>
            <w:vAlign w:val="top"/>
          </w:tcPr>
          <w:p>
            <w:r>
              <w:rPr>
                <w:sz w:val="15"/>
              </w:rPr>
              <w:t>Ausschreibung durchführen, Fragen steuern und Angebote einholen</w:t>
            </w:r>
          </w:p>
        </w:tc>
      </w:tr>
      <w:tr>
        <w:tc>
          <w:tcPr>
            <w:tcW w:type="dxa" w:w="3211"/>
            <w:vAlign w:val="top"/>
          </w:tcPr>
          <w:p>
            <w:r>
              <w:rPr>
                <w:sz w:val="15"/>
              </w:rPr>
              <w:t>15</w:t>
            </w:r>
          </w:p>
        </w:tc>
        <w:tc>
          <w:tcPr>
            <w:tcW w:type="dxa" w:w="3211"/>
            <w:vAlign w:val="top"/>
          </w:tcPr>
          <w:p>
            <w:r>
              <w:rPr>
                <w:sz w:val="15"/>
              </w:rPr>
              <w:t>Anbieterpräsentationen und Demo-Szenarien</w:t>
            </w:r>
          </w:p>
        </w:tc>
        <w:tc>
          <w:tcPr>
            <w:tcW w:type="dxa" w:w="3211"/>
            <w:vAlign w:val="top"/>
          </w:tcPr>
          <w:p>
            <w:r>
              <w:rPr>
                <w:sz w:val="15"/>
              </w:rPr>
              <w:t>Lösungen anhand standardisierter Szenarien vergleichbar prüfen</w:t>
            </w:r>
          </w:p>
        </w:tc>
      </w:tr>
      <w:tr>
        <w:tc>
          <w:tcPr>
            <w:tcW w:type="dxa" w:w="3211"/>
            <w:vAlign w:val="top"/>
          </w:tcPr>
          <w:p>
            <w:r>
              <w:rPr>
                <w:sz w:val="15"/>
              </w:rPr>
              <w:t>16</w:t>
            </w:r>
          </w:p>
        </w:tc>
        <w:tc>
          <w:tcPr>
            <w:tcW w:type="dxa" w:w="3211"/>
            <w:vAlign w:val="top"/>
          </w:tcPr>
          <w:p>
            <w:r>
              <w:rPr>
                <w:sz w:val="15"/>
              </w:rPr>
              <w:t>Gesamtbewertung und Entscheidungsvorlage</w:t>
            </w:r>
          </w:p>
        </w:tc>
        <w:tc>
          <w:tcPr>
            <w:tcW w:type="dxa" w:w="3211"/>
            <w:vAlign w:val="top"/>
          </w:tcPr>
          <w:p>
            <w:r>
              <w:rPr>
                <w:sz w:val="15"/>
              </w:rPr>
              <w:t>Fachliche, technische, wirtschaftliche und strategische Bewertung konsolidieren</w:t>
            </w:r>
          </w:p>
        </w:tc>
      </w:tr>
      <w:tr>
        <w:tc>
          <w:tcPr>
            <w:tcW w:type="dxa" w:w="3211"/>
            <w:vAlign w:val="top"/>
          </w:tcPr>
          <w:p>
            <w:r>
              <w:rPr>
                <w:sz w:val="15"/>
              </w:rPr>
              <w:t>17</w:t>
            </w:r>
          </w:p>
        </w:tc>
        <w:tc>
          <w:tcPr>
            <w:tcW w:type="dxa" w:w="3211"/>
            <w:vAlign w:val="top"/>
          </w:tcPr>
          <w:p>
            <w:r>
              <w:rPr>
                <w:sz w:val="15"/>
              </w:rPr>
              <w:t>Proof of Concept und Vertragsverhandlung</w:t>
            </w:r>
          </w:p>
        </w:tc>
        <w:tc>
          <w:tcPr>
            <w:tcW w:type="dxa" w:w="3211"/>
            <w:vAlign w:val="top"/>
          </w:tcPr>
          <w:p>
            <w:r>
              <w:rPr>
                <w:sz w:val="15"/>
              </w:rPr>
              <w:t>Favoriten absichern, offene Punkte klären und Vertragsgrundlage schaffen</w:t>
            </w:r>
          </w:p>
        </w:tc>
      </w:tr>
      <w:tr>
        <w:tc>
          <w:tcPr>
            <w:tcW w:type="dxa" w:w="3211"/>
            <w:vAlign w:val="top"/>
          </w:tcPr>
          <w:p>
            <w:r>
              <w:rPr>
                <w:sz w:val="15"/>
              </w:rPr>
              <w:t>18</w:t>
            </w:r>
          </w:p>
        </w:tc>
        <w:tc>
          <w:tcPr>
            <w:tcW w:type="dxa" w:w="3211"/>
            <w:vAlign w:val="top"/>
          </w:tcPr>
          <w:p>
            <w:r>
              <w:rPr>
                <w:sz w:val="15"/>
              </w:rPr>
              <w:t>Übergabe in Implementierung und Nutzencontrolling</w:t>
            </w:r>
          </w:p>
        </w:tc>
        <w:tc>
          <w:tcPr>
            <w:tcW w:type="dxa" w:w="3211"/>
            <w:vAlign w:val="top"/>
          </w:tcPr>
          <w:p>
            <w:r>
              <w:rPr>
                <w:sz w:val="15"/>
              </w:rPr>
              <w:t>Entscheidung, Wissen und Steuerungslogik in die Umsetzung überführen</w:t>
            </w:r>
          </w:p>
        </w:tc>
      </w:tr>
    </w:tbl>
    <w:p/>
    <w:p>
      <w:pPr>
        <w:pStyle w:val="Heading2"/>
      </w:pPr>
      <w:r>
        <w:t>7.3 Phase 1: Projektanstoß und Managementauftrag</w:t>
      </w:r>
    </w:p>
    <w:p>
      <w:r>
        <w:t>Jedes erfolgreiche Auswahlprojekt beginnt mit einem klaren Anlass. Dieser Anlass kann aus sehr unterschiedlichen Situationen entstehen: Ein bestehendes System ist fachlich oder technisch am Ende seines Lebenszyklus angekommen. Mehrere Standorte arbeiten mit uneinheitlichen Lösungen. Eine neue Geschäftsstrategie erfordert digitale Fähigkeiten, die bisher fehlen. Regulatorische Anforderungen machen eine bessere Nachweisführung erforderlich. Oder das Unternehmen möchte Prozesse harmonisieren, automatisieren oder transparenter steuern.</w:t>
      </w:r>
    </w:p>
    <w:p>
      <w:r>
        <w:t>In dieser ersten Phase geht es nicht darum, bereits Lösungen zu diskutieren. Es geht darum, den Projektbedarf zu verstehen und eine Managemententscheidung für die strukturierte Vorbereitung der Auswahl herbeizuführen. Der Berater muss mit dem Auftraggeber klären, warum das Projekt notwendig ist, welche Risiken bei Nicht-Handeln entstehen, welche Unternehmensbereiche betroffen sind und welche Erwartungen das Management an den Auswahlprozess stellt.</w:t>
      </w:r>
    </w:p>
    <w:p>
      <w:r>
        <w:t>Ein häufiger Fehler besteht darin, den Projektanstoß zu technisch zu formulieren. Aussagen wie 'Wir brauchen ein neues System' oder 'Das alte System wird abgelöst' reichen nicht aus. Ein belastbarer Managementauftrag beschreibt den geschäftlichen Zweck: Welche Probleme sollen gelöst werden? Welche Fähigkeiten sollen entstehen? Welche Verbesserung wird erwartet? Welche strategische Richtung soll unterstützt werden?</w:t>
      </w:r>
    </w:p>
    <w:p>
      <w:r>
        <w:t>Das Ergebnis dieser Phase ist ein erster Projektauftrag oder zumindest ein Mandat zur strukturierten Projektinitialisierung. Der Berater sollte darauf achten, dass der Auftraggeber nicht nur Budget in Aussicht stellt, sondern auch die organisatorische Unterstützung zusagt. Ohne sichtbares Managementmandat werden spätere Workshops, Ressourcenentscheidungen und Zielkonflikte deutlich schwieriger.</w:t>
      </w:r>
    </w:p>
    <w:p>
      <w:pPr>
        <w:pStyle w:val="Heading2"/>
      </w:pPr>
      <w:r>
        <w:t>7.4 Phase 2: Projektinitialisierung und Governance</w:t>
      </w:r>
    </w:p>
    <w:p>
      <w:r>
        <w:t>In der zweiten Phase wird aus dem Projektanstoß ein steuerbares Projekt. Dazu werden Projektorganisation, Rollen, Gremien, Zeitplan, Vorgehensmodell, Quality Gates, Kommunikationswege und erste Deliverables definiert. Diese Phase bildet die operative Grundlage für alle weiteren Arbeiten.</w:t>
      </w:r>
    </w:p>
    <w:p>
      <w:r>
        <w:t>Der Berater arbeitet hier eng mit der internen Projektleitung zusammen. Gemeinsam wird festgelegt, welche Fachbereiche beteiligt werden, welche Rolle IT, Einkauf, Datenschutz, Informationssicherheit und Architektur spielen, wie der Lenkungsausschuss besetzt wird und welche Entscheidungen zu welchen Zeitpunkten erforderlich sind. Besonders wichtig ist die Klärung der Entscheidungslogik: Welche Entscheidungen trifft das Projektteam? Welche Entscheidungen gehen in den Lenkungsausschuss? Welche Entscheidungen liegen beim Management?</w:t>
      </w:r>
    </w:p>
    <w:p>
      <w:r>
        <w:t>Diese Phase wird in der Praxis häufig unterschätzt. Viele Projekte wollen sofort in fachliche Workshops starten. Ohne saubere Initialisierung entstehen jedoch später Unklarheiten. Workshop-Ergebnisse werden nicht freigegeben, Anforderungen werden nicht priorisiert, Anbieterfragen werden uneinheitlich beantwortet und Zielkonflikte bleiben ungelöst. Eine gute Initialisierung spart daher später Zeit, auch wenn sie am Anfang wie zusätzlicher Aufwand wirkt.</w:t>
      </w:r>
    </w:p>
    <w:p>
      <w:r>
        <w:t>Das zentrale Ergebnis ist ein freigegebener Projekt- und Governance-Rahmen. Dieser Rahmen muss pragmatisch sein. Ein kleines Auswahlprojekt benötigt keine überdimensionierte Gremienstruktur. Ein großes, standortübergreifendes Projekt benötigt dagegen klare Eskalations- und Freigabewege. Der Berater dimensioniert die Governance passend zur Projektsituation.</w:t>
      </w:r>
    </w:p>
    <w:p>
      <w:pPr>
        <w:pStyle w:val="Heading2"/>
      </w:pPr>
      <w:r>
        <w:t>7.5 Phase 3: Stakeholderanalyse und Projektumfeld</w:t>
      </w:r>
    </w:p>
    <w:p>
      <w:r>
        <w:t>Softwareauswahl ist immer auch Stakeholdermanagement. Die zukünftige Lösung betrifft Menschen, Rollen, Prozesse und Verantwortlichkeiten. Deshalb muss früh geklärt werden, welche Stakeholder vom Projekt betroffen sind, welche Erwartungen sie haben, welche Risiken sie sehen und wie sie eingebunden werden müssen.</w:t>
      </w:r>
    </w:p>
    <w:p>
      <w:r>
        <w:t>Die Stakeholderanalyse umfasst nicht nur offensichtliche Beteiligte wie Fachbereiche und IT. Auch Einkauf, Recht, Datenschutz, Informationssicherheit, Betriebsrat, Controlling, Schulung, Betrieb, lokale Standorte, internationale Einheiten, Key User und gegebenenfalls externe Partner können relevant sein. Je nach Softwarekategorie können auch Kunden, Lieferanten oder Dienstleister indirekt betroffen sein.</w:t>
      </w:r>
    </w:p>
    <w:p>
      <w:r>
        <w:t>Der Berater muss in dieser Phase die formale Organisation und die tatsächlichen Einflussstrukturen verstehen. Nicht immer sind die wichtigsten Personen im Organigramm sofort sichtbar. Es gibt informelle Meinungsführer, erfahrene Key User, kritische Fachspezialisten oder lokale Entscheider, deren Unterstützung für die Akzeptanz entscheidend ist. Werden diese Personen übergangen, entstehen später Widerstände.</w:t>
      </w:r>
    </w:p>
    <w:p>
      <w:r>
        <w:t>Das Ergebnis dieser Phase ist eine Stakeholderübersicht mit Einschätzung von Einfluss, Betroffenheit, Kommunikationsbedarf und Einbindungsform. Diese Übersicht ist kein einmaliges Dokument, sondern wird im Projektverlauf fortgeschrieben. Sie hilft, Workshops richtig zu besetzen, Kommunikationsmaßnahmen zu planen und Risiken frühzeitig zu erkennen.</w:t>
      </w:r>
    </w:p>
    <w:p>
      <w:pPr>
        <w:pStyle w:val="Heading2"/>
      </w:pPr>
      <w:r>
        <w:t>7.6 Phase 4: Strategische Leitplanken und Zielbild</w:t>
      </w:r>
    </w:p>
    <w:p>
      <w:r>
        <w:t>Die vierte Phase ist eine der wichtigsten Phasen des gesamten Auswahlprozesses. Sie legt fest, welche strategische Richtung das Projekt verfolgt und welche Leitplanken später für Anforderungen und Bewertung gelten. Ohne diese Phase besteht die Gefahr, dass das Projekt in Einzelfunktionen, lokale Wünsche oder Anbieterlogiken abgleitet.</w:t>
      </w:r>
    </w:p>
    <w:p>
      <w:r>
        <w:t>Strategische Leitplanken beschreiben, welche Ziele die zukünftige Lösung unterstützen muss. Beispiele sind Prozessharmonisierung, globale Templatefähigkeit, Cloud-Strategie, Reduzierung von Individualentwicklungen, bessere Datenqualität, höhere Automatisierung, regulatorische Nachweisfähigkeit oder stärkere Integration entlang der Wertschöpfungskette. Ebenso wichtig sind Nicht-Ziele. Ein Projekt sollte klar benennen, was nicht Teil des Vorhabens ist, um Scope-Ausweitung zu vermeiden.</w:t>
      </w:r>
    </w:p>
    <w:p>
      <w:r>
        <w:t>Das Zielbild beschreibt den gewünschten zukünftigen Zustand. Es muss nicht jedes Detail der späteren Lösung vorwegnehmen, aber es muss Orientierung geben. Wie soll das Unternehmen künftig arbeiten? Welche Fähigkeiten sollen gestärkt werden? Welche organisatorischen Prinzipien gelten? Welche Daten sollen künftig verfügbar sein? Welche Systemlandschaft wird angestrebt?</w:t>
      </w:r>
    </w:p>
    <w:p>
      <w:r>
        <w:t>Der Berater moderiert diese Phase in der Regel mit Management, Projektleitung, zentralen Fachbereichen und IT. Seine Aufgabe besteht darin, allgemeine Aussagen in prüfbare Leitplanken zu übersetzen. Eine Aussage wie 'Wir wollen effizienter werden' ist zu ungenau. Eine belastbare Leitplanke beschreibt, welche Prozesse standardisiert, welche manuellen Tätigkeiten reduziert oder welche Entscheidungsgrundlagen verbessert werden sollen.</w:t>
      </w:r>
    </w:p>
    <w:tbl>
      <w:tblPr>
        <w:tblW w:type="auto" w:w="0"/>
        <w:jc w:val="center"/>
        <w:tblLook w:firstColumn="1" w:firstRow="1" w:lastColumn="0" w:lastRow="0" w:noHBand="0" w:noVBand="1" w:val="04A0"/>
      </w:tblPr>
      <w:tblGrid>
        <w:gridCol w:w="9632"/>
      </w:tblGrid>
      <w:tr>
        <w:tc>
          <w:tcPr>
            <w:tcW w:type="dxa" w:w="9632"/>
            <w:shd w:fill="EEF3F8"/>
            <w:tcBorders>
              <w:top w:val="single" w:sz="8" w:space="0" w:color="9EB6D8"/>
              <w:left w:val="single" w:sz="8" w:space="0" w:color="9EB6D8"/>
              <w:bottom w:val="single" w:sz="8" w:space="0" w:color="9EB6D8"/>
              <w:right w:val="single" w:sz="8" w:space="0" w:color="9EB6D8"/>
            </w:tcBorders>
          </w:tcPr>
          <w:p>
            <w:r>
              <w:rPr>
                <w:b/>
                <w:color w:val="1E375A"/>
                <w:sz w:val="20"/>
              </w:rPr>
              <w:t>Praxishinweis</w:t>
            </w:r>
          </w:p>
          <w:p>
            <w:pPr>
              <w:pStyle w:val="ASFBox"/>
            </w:pPr>
            <w:r>
              <w:t>Strategische Leitplanken sollten später direkt in die Bewertungsmethodik einfließen. Wenn Standardisierung ein strategisches Ziel ist, muss Standardfähigkeit bewertet werden. Wenn internationale Skalierbarkeit wichtig ist, muss Rolloutfähigkeit bewertet werden. Wenn Datenqualität entscheidend ist, müssen Datenmodell, Stammdatenlogik und Reportingfähigkeit bewertet werden.</w:t>
            </w:r>
          </w:p>
        </w:tc>
      </w:tr>
    </w:tbl>
    <w:p/>
    <w:p>
      <w:pPr>
        <w:pStyle w:val="Heading2"/>
      </w:pPr>
      <w:r>
        <w:t>7.7 Phase 5: Ist-Analyse und Ausgangssituation</w:t>
      </w:r>
    </w:p>
    <w:p>
      <w:r>
        <w:t>Die Ist-Analyse schafft ein gemeinsames Verständnis der heutigen Situation. Sie umfasst bestehende Systeme, Prozesse, Datenflüsse, Schnittstellen, organisatorische Strukturen, Schwachstellen, manuelle Tätigkeiten, Medienbrüche, regulatorische Rahmenbedingungen und laufende Initiativen. Ziel ist nicht, jeden heutigen Prozess bis ins letzte Detail zu dokumentieren. Ziel ist, die relevanten Ausgangsbedingungen für die Auswahl zu verstehen.</w:t>
      </w:r>
    </w:p>
    <w:p>
      <w:r>
        <w:t>Ein häufiger Fehler besteht darin, die Ist-Analyse entweder zu oberflächlich oder zu detailliert durchzuführen. Eine zu oberflächliche Analyse übersieht wesentliche Abhängigkeiten. Eine zu detaillierte Analyse verbraucht Zeit und führt dazu, dass das Projekt den heutigen Zustand übermäßig konserviert. Der Berater muss die richtige Tiefe finden: ausreichend, um Anforderungen und Risiken zu verstehen, aber nicht so tief, dass der Blick auf den Zielzustand verloren geht.</w:t>
      </w:r>
    </w:p>
    <w:p>
      <w:r>
        <w:t>Wichtig ist, dass die Ist-Analyse nicht nur Schwächen sammelt, sondern auch funktionierende Elemente identifiziert. Nicht alles Bestehende ist schlecht. Manche Prozesse sind bewusst so gestaltet, weil sie Wettbewerbsvorteile sichern oder regulatorische Anforderungen erfüllen. Andere sind historisch gewachsen und sollten verändert werden. Diese Unterscheidung ist für die spätere Sollprozessarbeit entscheidend.</w:t>
      </w:r>
    </w:p>
    <w:p>
      <w:r>
        <w:t>Das Ergebnis ist eine strukturierte Beschreibung der Ausgangssituation. Sie bildet die Grundlage für Capability Map, Sollprozesse und Anforderungen. Zudem liefert sie wichtige Hinweise für Migrationsaufwand, Integrationskomplexität, Change-Bedarf und Risikobewertung.</w:t>
      </w:r>
    </w:p>
    <w:p>
      <w:pPr>
        <w:pStyle w:val="Heading2"/>
      </w:pPr>
      <w:r>
        <w:t>7.8 Phase 6: Capability Map</w:t>
      </w:r>
    </w:p>
    <w:p>
      <w:r>
        <w:t>Die Capability Map übersetzt Strategie und Ausgangssituation in eine fachliche Fähigkeitsstruktur. Sie beschreibt, welche geschäftlichen Fähigkeiten das Unternehmen benötigt, unabhängig davon, welche Software diese Fähigkeiten später unterstützt. Dadurch entsteht ein stabiler Ordnungsrahmen für die weitere Arbeit.</w:t>
      </w:r>
    </w:p>
    <w:p>
      <w:r>
        <w:t>Capabilities sind besonders wertvoll, weil sie Diskussionen von Einzelfunktionen lösen. Statt zu fragen, ob ein bestimmtes System eine bestimmte Maske bietet, fragt das Projekt, welche Fähigkeit benötigt wird: etwa Kundenaufträge zuverlässig steuern, Liefertermine verbindlich zusagen, Bestände transparent führen, Qualität rückverfolgbar sichern, Anlagen instand halten, Serviceprozesse steuern oder Finanzprozesse harmonisieren.</w:t>
      </w:r>
    </w:p>
    <w:p>
      <w:r>
        <w:t>Der Berater entwickelt die Capability Map gemeinsam mit Fachbereichen, IT und Management. Dabei werden Capabilities beschrieben, priorisiert und gegebenenfalls nach Relevanz, Reifegrad oder Handlungsbedarf bewertet. Die Capability Map ist kein Selbstzweck. Sie hilft, Anforderungen zu strukturieren, Bewertungsdimensionen abzuleiten und später Anbieter entlang fachlicher Fähigkeiten zu vergleichen.</w:t>
      </w:r>
    </w:p>
    <w:p>
      <w:r>
        <w:t>Das Ergebnis ist eine abgestimmte Capability Map als fachlicher Ordnungsrahmen. Sie sollte nicht zu fein granular sein. Wenn Capabilities zu detailliert beschrieben werden, verlieren sie ihren strategischen Wert und werden zu Funktionslisten. Wenn sie zu grob bleiben, sind sie für Anforderungen nicht nutzbar. Der Berater muss hier fachliche Balance herstellen.</w:t>
      </w:r>
    </w:p>
    <w:p>
      <w:pPr>
        <w:pStyle w:val="Heading2"/>
      </w:pPr>
      <w:r>
        <w:t>7.9 Phase 7: Sollprozesse und Zielorganisation</w:t>
      </w:r>
    </w:p>
    <w:p>
      <w:r>
        <w:t>In der siebten Phase werden aus Capabilities konkrete Sollprozesse und organisatorische Zielbilder entwickelt. Diese Phase ist entscheidend, weil Anforderungen nicht aus dem heutigen Zustand, sondern aus der gewünschten zukünftigen Arbeitsweise entstehen sollen. Sollprozesse beschreiben, wie das Unternehmen künftig arbeiten will, welche Rollen beteiligt sind, welche Entscheidungen getroffen werden, welche Daten benötigt werden und welche Systeme zusammenwirken.</w:t>
      </w:r>
    </w:p>
    <w:p>
      <w:r>
        <w:t>Sollprozesse müssen nicht in jedem Projekt in vollständiger BPMN-Tiefe modelliert werden. Entscheidend ist, dass die relevanten End-to-End-Abläufe verstanden und beschrieben sind. Je größer die Prozessveränderung, desto wichtiger wird eine präzise Prozessmodellierung. Bei kleineren Auswahlprojekten können strukturierte Prozessbeschreibungen oder Szenarien ausreichen.</w:t>
      </w:r>
    </w:p>
    <w:p>
      <w:r>
        <w:t>Der Berater muss in dieser Phase darauf achten, dass Sollprozesse nicht einfach die heutige Realität nachzeichnen. Er fragt nach Vereinfachung, Standardisierung, Automatisierung, Rollenklärung und Datenqualität. Gleichzeitig achtet er darauf, dass Zielprozesse realistisch bleiben. Ein idealisiertes Prozessbild, das organisatorisch nicht umsetzbar ist, hilft der Softwareauswahl nicht.</w:t>
      </w:r>
    </w:p>
    <w:p>
      <w:r>
        <w:t>Die Zielorganisation gehört eng zu den Sollprozessen. Software verändert Verantwortlichkeiten. Wer pflegt Stammdaten? Wer gibt Anforderungen frei? Wer entscheidet über Ausnahmen? Wer betreibt Schnittstellen? Wer verantwortet Kennzahlen? Diese Fragen müssen vor der Anforderungserstellung geklärt oder zumindest bewusst als offene Punkte dokumentiert werden.</w:t>
      </w:r>
    </w:p>
    <w:p>
      <w:pPr>
        <w:pStyle w:val="Heading2"/>
      </w:pPr>
      <w:r>
        <w:t>7.10 Phase 8: Funktionale Anforderungen</w:t>
      </w:r>
    </w:p>
    <w:p>
      <w:r>
        <w:t>Funktionale Anforderungen beschreiben, was die zukünftige Lösung fachlich leisten muss. Sie werden aus strategischen Leitplanken, Capabilities und Sollprozessen abgeleitet. Eine gute funktionale Anforderung beschreibt ein benötigtes Ergebnis oder Verhalten der Lösung, ohne die Umsetzung unnötig auf ein bestimmtes Produkt festzulegen.</w:t>
      </w:r>
    </w:p>
    <w:p>
      <w:r>
        <w:t>In dieser Phase zeigt sich die Qualität der Vorarbeit. Wenn Capabilities und Sollprozesse sauber beschrieben sind, entstehen Anforderungen logisch und nachvollziehbar. Wenn diese Grundlagen fehlen, werden Anforderungen häufig zu einer Sammlung unverbundener Wünsche. Der Berater muss daher sicherstellen, dass Anforderungen nicht isoliert entstehen, sondern auf den fachlichen Ordnungsrahmen zurückgeführt werden können.</w:t>
      </w:r>
    </w:p>
    <w:p>
      <w:r>
        <w:t>Funktionale Anforderungen müssen priorisiert werden. Nicht jede Anforderung ist gleich wichtig. Das ASF unterscheidet typischerweise Muss-, Soll- und Kann-Anforderungen oder vergleichbare Prioritätslogiken. Muss-Anforderungen müssen besonders sorgfältig geprüft werden, weil sie Anbieter ausschließen können. Eine zu hohe Zahl an Muss-Anforderungen reduziert den Markt unnötig und kann zu Scheingenauigkeit führen.</w:t>
      </w:r>
    </w:p>
    <w:p>
      <w:r>
        <w:t>Das Ergebnis dieser Phase ist ein strukturierter Anforderungskatalog. Er sollte verständlich, lösungsneutral, prüfbar, priorisiert und versioniert sein. Er bildet eine der wichtigsten Grundlagen für Lastenheft, Ausschreibung, Anbieterantworten und Bewertung.</w:t>
      </w:r>
    </w:p>
    <w:p>
      <w:pPr>
        <w:pStyle w:val="Heading2"/>
      </w:pPr>
      <w:r>
        <w:t>7.11 Phase 9: Nicht-funktionale Anforderungen</w:t>
      </w:r>
    </w:p>
    <w:p>
      <w:r>
        <w:t>Nicht-funktionale Anforderungen beschreiben Qualitätsmerkmale, Rahmenbedingungen und technische Eigenschaften der zukünftigen Lösung. Sie betreffen beispielsweise Architektur, Integration, Sicherheit, Datenschutz, Performance, Skalierbarkeit, Verfügbarkeit, Betrieb, Monitoring, Support, Usability, Dokumentation, Releasefähigkeit und Compliance.</w:t>
      </w:r>
    </w:p>
    <w:p>
      <w:r>
        <w:t>Diese Anforderungen werden in Auswahlprojekten häufig unterschätzt, obwohl sie langfristig entscheidend sind. Eine Lösung kann fachlich überzeugen und dennoch ungeeignet sein, wenn sie nicht sicher betrieben werden kann, nicht zur Zielarchitektur passt, keine ausreichenden Schnittstellen bietet oder hohe Betriebskomplexität erzeugt. Deshalb werden nicht-funktionale Anforderungen im ASF eigenständig erhoben und bewertet.</w:t>
      </w:r>
    </w:p>
    <w:p>
      <w:r>
        <w:t>Der Berater muss sicherstellen, dass IT, Architektur, Sicherheit, Datenschutz und Betrieb früh eingebunden werden. Nicht-funktionale Anforderungen dürfen nicht erst nach der Anbieterentscheidung geprüft werden. Zu diesem Zeitpunkt sind Erwartungen bereits gesetzt und Korrekturen teuer.</w:t>
      </w:r>
    </w:p>
    <w:p>
      <w:r>
        <w:t>Das Ergebnis ist ein nicht-funktionaler Anforderungskatalog, der mit den funktionalen Anforderungen verzahnt ist. Beide Perspektiven sind notwendig. Funktionale Eignung ohne technische Zukunftsfähigkeit ist riskant. Technische Eleganz ohne fachliche Passung ist ebenfalls ungeeignet.</w:t>
      </w:r>
    </w:p>
    <w:p>
      <w:pPr>
        <w:pStyle w:val="Heading2"/>
      </w:pPr>
      <w:r>
        <w:t>7.12 Phase 10: Bewertungsmethodik</w:t>
      </w:r>
    </w:p>
    <w:p>
      <w:r>
        <w:t>Die Bewertungsmethodik muss definiert werden, bevor Anbieter im Detail bewertet werden. Dies ist ein zentrales Prinzip des ASF. Wenn Bewertungsmaßstäbe erst nach Präsentationen oder Angeboten festgelegt werden, besteht die Gefahr, dass sie unbewusst an bereits entstandene Eindrücke angepasst werden.</w:t>
      </w:r>
    </w:p>
    <w:p>
      <w:r>
        <w:t>Die Bewertungsmethodik beschreibt Bewertungsdimensionen, Gewichtungen, Muss-Kriterien, Skalen, Bewertungsrollen, Konsolidierungslogik und Umgang mit Unsicherheiten. Sie legt fest, wie fachliche, technische, wirtschaftliche, strategische und anbieterbezogene Kriterien zusammengeführt werden. Dabei muss sie transparent genug sein, damit Beteiligte sie verstehen, und differenziert genug, damit sie echte Unterschiede sichtbar macht.</w:t>
      </w:r>
    </w:p>
    <w:p>
      <w:r>
        <w:t>Ein guter Berater achtet darauf, dass Bewertung nicht zu einer rein mathematischen Übung wird. Scoringmodelle können Entscheidungen strukturieren, ersetzen aber nicht das fachliche Urteil. Sie müssen Ergebnisse erklärbar machen, nicht Scheingenauigkeit erzeugen. Deshalb sollte jede numerische Bewertung durch qualitative Erläuterungen, Risiken und Annahmen ergänzt werden.</w:t>
      </w:r>
    </w:p>
    <w:p>
      <w:r>
        <w:t>Das Ergebnis dieser Phase ist eine freigegebene Bewertungsmethodik. Sie ist Grundlage für Anbieterantworten, Demonstrationen, Shortlist-Entscheidungen und Managementvorlage.</w:t>
      </w:r>
    </w:p>
    <w:p>
      <w:pPr>
        <w:pStyle w:val="Heading2"/>
      </w:pPr>
      <w:r>
        <w:t>7.13 Phase 11: Lastenheft und Ausschreibungsunterlagen</w:t>
      </w:r>
    </w:p>
    <w:p>
      <w:r>
        <w:t>In dieser Phase werden die bisher erarbeiteten Ergebnisse in ein konsistentes Lastenheft und in die zugehörigen Ausschreibungsunterlagen überführt. Das Lastenheft beschreibt den Bedarf des Kunden. Es ist nicht das Pflichtenheft des Anbieters. Es soll Anbieter in die Lage versetzen, die Anforderungen zu verstehen, ihre Lösung strukturiert darzustellen und vergleichbare Angebote abzugeben.</w:t>
      </w:r>
    </w:p>
    <w:p>
      <w:r>
        <w:t>Ein gutes Lastenheft ist vollständig genug, um belastbare Anbieterantworten zu ermöglichen, aber nicht so überladen, dass es unlesbar wird. Es beschreibt Zielbild, Scope, Anforderungen, nicht-funktionale Rahmenbedingungen, Integrationsaspekte, Daten- und Prozessbezug, Angebotsstruktur, Bewertungslogik und erwartete Nachweise. Es vermeidet Produktpräferenzen und formuliert Anforderungen lösungsneutral.</w:t>
      </w:r>
    </w:p>
    <w:p>
      <w:r>
        <w:t>Die Ausschreibungsunterlagen umfassen darüber hinaus Preisblätter, Antwortformate, Terminplan, Kommunikationsregeln, Vertraulichkeitsanforderungen, Demonstrationsvorgaben und gegebenenfalls Vertragsgrundlagen. Einkauf und Recht müssen hier eng eingebunden werden.</w:t>
      </w:r>
    </w:p>
    <w:p>
      <w:r>
        <w:t>Das Ergebnis ist ein freigegebenes Ausschreibungspaket. Dieses Quality Gate ist besonders wichtig. Fehler in dieser Phase wirken direkt auf Anbieterantworten und Vergleichbarkeit.</w:t>
      </w:r>
    </w:p>
    <w:p>
      <w:pPr>
        <w:pStyle w:val="Heading2"/>
      </w:pPr>
      <w:r>
        <w:t>7.14 Phase 12: Marktanalyse und Longlist</w:t>
      </w:r>
    </w:p>
    <w:p>
      <w:r>
        <w:t>Die Marktanalyse dient dazu, geeignete Anbieter und Lösungen zu identifizieren. Sie beginnt nicht mit einer beliebigen Internetrecherche, sondern mit den zuvor definierten Anforderungen, Capabilities, strategischen Leitplanken und technischen Rahmenbedingungen. Dadurch wird verhindert, dass Anbieter nur aufgrund von Bekanntheit oder Vertriebspräsenz betrachtet werden.</w:t>
      </w:r>
    </w:p>
    <w:p>
      <w:r>
        <w:t>Die Longlist sollte breit genug sein, um den Markt realistisch abzubilden, aber nicht so breit, dass das Projekt unnötig belastet wird. Kriterien für die Aufnahme können funktionale Passung, Branchenkompetenz, regionale Verfügbarkeit, technologische Architektur, Unternehmensgröße, Referenzen, Partnernetzwerk, Integrationsfähigkeit oder strategische Relevanz sein.</w:t>
      </w:r>
    </w:p>
    <w:p>
      <w:r>
        <w:t>Der Berater muss Marktkenntnis einbringen, aber neutral bleiben. Er darf keine Anbieter bevorzugen, sondern muss nachvollziehbar dokumentieren, warum Anbieter berücksichtigt oder ausgeschlossen werden. Eine gute Longlist ist transparent begründet.</w:t>
      </w:r>
    </w:p>
    <w:p>
      <w:r>
        <w:t>Das Ergebnis ist eine strukturierte Longlist mit ersten Einschätzungen zu Passung und Risiken. Sie bildet die Grundlage für Vorqualifizierung und Shortlist.</w:t>
      </w:r>
    </w:p>
    <w:p>
      <w:pPr>
        <w:pStyle w:val="Heading2"/>
      </w:pPr>
      <w:r>
        <w:t>7.15 Phase 13: RFI, Vorqualifizierung und Shortlist</w:t>
      </w:r>
    </w:p>
    <w:p>
      <w:r>
        <w:t>In der RFI-Phase werden Anbieter vorqualifiziert. RFI steht für Request for Information. Ziel ist nicht die vollständige Angebotsbewertung, sondern die Klärung, welche Anbieter grundsätzlich geeignet sind, am weiteren Auswahlprozess teilzunehmen. Dadurch wird die spätere Ausschreibung auf eine handhabbare Anzahl qualifizierter Anbieter fokussiert.</w:t>
      </w:r>
    </w:p>
    <w:p>
      <w:r>
        <w:t>Der RFI sollte gezielt aufgebaut sein. Er fragt nicht jedes Detail ab, sondern prüft zentrale Eignungskriterien: funktionale Grundpassung, Branchen- oder Prozesskompetenz, technologische Architektur, Referenzen, Implementierungskapazität, geografische Abdeckung, Betriebsmodell, Integrationsfähigkeit und wirtschaftliche Grundannahmen.</w:t>
      </w:r>
    </w:p>
    <w:p>
      <w:r>
        <w:t>Die Shortlist-Entscheidung muss nachvollziehbar dokumentiert werden. Anbieter, die ausgeschlossen werden, sollten aus klaren Gründen ausgeschlossen werden. Anbieter, die weiterkommen, sollten eine realistische Chance haben, die Anforderungen zu erfüllen. Eine Shortlist ist kein politisches Signal, sondern ein methodischer Filter.</w:t>
      </w:r>
    </w:p>
    <w:p>
      <w:r>
        <w:t>Das Ergebnis ist eine freigegebene Shortlist als Grundlage für die eigentliche Ausschreibung.</w:t>
      </w:r>
    </w:p>
    <w:p>
      <w:pPr>
        <w:pStyle w:val="Heading2"/>
      </w:pPr>
      <w:r>
        <w:t>7.16 Phase 14: RFP und Bieterkommunikation</w:t>
      </w:r>
    </w:p>
    <w:p>
      <w:r>
        <w:t>Der RFP, Request for Proposal, ist die eigentliche Ausschreibung. In dieser Phase erhalten die ausgewählten Anbieter das Ausschreibungspaket und werden aufgefordert, strukturierte Angebote einzureichen. Die Qualität dieser Phase hängt wesentlich von der Klarheit der Unterlagen und der Steuerung der Kommunikation ab.</w:t>
      </w:r>
    </w:p>
    <w:p>
      <w:r>
        <w:t>Bieterkommunikation muss zentral, fair und dokumentiert erfolgen. Anbieterfragen werden gesammelt, intern geklärt und nach definierten Regeln beantwortet. Relevante Klarstellungen werden allen Anbietern zur Verfügung gestellt. Dadurch bleibt der Informationsstand vergleichbar.</w:t>
      </w:r>
    </w:p>
    <w:p>
      <w:r>
        <w:t>Der Berater unterstützt Projektleitung und Einkauf bei der Steuerung des Prozesses. Er bewertet fachliche Rückfragen, erkennt Unklarheiten im Lastenheft und sorgt dafür, dass Antworten nicht unbeabsichtigt Anforderungen verändern. Gleichzeitig achtet er darauf, dass Anbieterantworten in einer Form eingehen, die später auswertbar ist.</w:t>
      </w:r>
    </w:p>
    <w:p>
      <w:r>
        <w:t>Das Ergebnis sind strukturierte Anbieterangebote, beantwortete Anforderungen, Preisblätter, Lösungskonzepte und dokumentierte Anbieterfragen.</w:t>
      </w:r>
    </w:p>
    <w:p>
      <w:pPr>
        <w:pStyle w:val="Heading2"/>
      </w:pPr>
      <w:r>
        <w:t>7.17 Phase 15: Anbieterpräsentationen und Demo-Szenarien</w:t>
      </w:r>
    </w:p>
    <w:p>
      <w:r>
        <w:t>Anbieterpräsentationen sind ein kritischer Punkt im Auswahlprozess. Sie können sehr hilfreich sein, weil sie Lösungen greifbar machen. Sie können aber auch stark verzerren, wenn sie als freie Vertriebsshows durchgeführt werden. Das ASF nutzt deshalb standardisierte Demonstrationsszenarien.</w:t>
      </w:r>
    </w:p>
    <w:p>
      <w:r>
        <w:t>Demo-Szenarien beschreiben typische, relevante und differenzierende Abläufe aus Sicht des Kunden. Sie leiten sich aus Capabilities, Sollprozessen und priorisierten Anforderungen ab. Anbieter erhalten klare Vorgaben, welche Szenarien zu zeigen sind, welche Daten oder Rollen verwendet werden sollen und welche Fragen beantwortet werden müssen.</w:t>
      </w:r>
    </w:p>
    <w:p>
      <w:r>
        <w:t>Die Bewertung der Demos erfolgt strukturiert. Fachbereiche, IT und weitere Rollen bewerten anhand vorbereiteter Kriterien. Der Berater moderiert, achtet auf Zeitdisziplin, stellt Verständnisfragen und verhindert, dass Anbieter an kritischen Punkten vorbeipräsentieren.</w:t>
      </w:r>
    </w:p>
    <w:p>
      <w:r>
        <w:t>Das Ergebnis sind dokumentierte Präsentationsbewertungen, offene Punkte, Risikohinweise und vertiefte Erkenntnisse zur Lösungseignung.</w:t>
      </w:r>
    </w:p>
    <w:p>
      <w:pPr>
        <w:pStyle w:val="Heading2"/>
      </w:pPr>
      <w:r>
        <w:t>7.18 Phase 16: Gesamtbewertung und Entscheidungsvorlage</w:t>
      </w:r>
    </w:p>
    <w:p>
      <w:r>
        <w:t>In dieser Phase werden alle Bewertungsergebnisse zusammengeführt. Fachliche Bewertung, technische Bewertung, wirtschaftliche Bewertung, Anbieterbewertung, Risiken, Referenzen, Präsentationseindrücke und strategische Passung werden konsolidiert. Ziel ist eine Entscheidungsvorlage, die das Management in die Lage versetzt, eine belastbare Entscheidung zu treffen.</w:t>
      </w:r>
    </w:p>
    <w:p>
      <w:r>
        <w:t>Eine gute Entscheidungsvorlage zeigt nicht nur eine Rangfolge. Sie erklärt, warum Anbieter unterschiedlich bewertet wurden, welche Risiken bestehen, welche Annahmen gelten, welche offenen Punkte zu klären sind und welche Konsequenzen mit der Entscheidung verbunden sind. Sie sollte auch darstellen, ob die Empfehlung eindeutig ist oder ob mehrere Optionen mit unterschiedlichen Vor- und Nachteilen bestehen.</w:t>
      </w:r>
    </w:p>
    <w:p>
      <w:r>
        <w:t>Der Berater muss in dieser Phase besonders sorgfältig arbeiten. Hier entscheidet sich, ob die vorherige Methodik zu einer verständlichen Managemententscheidung verdichtet wird. Zu viel Detail überfordert das Management. Zu wenig Detail wirkt nicht belastbar. Die Kunst liegt in der richtigen Verdichtung.</w:t>
      </w:r>
    </w:p>
    <w:p>
      <w:r>
        <w:t>Das Ergebnis ist eine freigegebene Entscheidungsvorlage mit Empfehlung, Begründung, Risiken und nächsten Schritten.</w:t>
      </w:r>
    </w:p>
    <w:p>
      <w:pPr>
        <w:pStyle w:val="Heading2"/>
      </w:pPr>
      <w:r>
        <w:t>7.19 Phase 17: Proof of Concept und Vertragsverhandlung</w:t>
      </w:r>
    </w:p>
    <w:p>
      <w:r>
        <w:t>Je nach Projektrisiko kann vor der finalen Vertragsentscheidung ein Proof of Concept sinnvoll sein. Dieser dient nicht dazu, das gesamte System vorwegzunehmen, sondern kritische Annahmen zu prüfen. Typische PoC-Themen sind Integrationsfähigkeit, Performance, Datenmigration, Prozessabdeckung, Benutzerführung oder technische Architektur.</w:t>
      </w:r>
    </w:p>
    <w:p>
      <w:r>
        <w:t>Ein Proof of Concept muss klar begrenzt sein. Ohne klare Fragestellung wird er schnell zu einem Mini-Implementierungsprojekt. Das ASF fordert daher definierte Ziele, Erfolgskriterien, Testdaten, Verantwortlichkeiten und Auswertungslogik. Der PoC soll Risiken reduzieren, nicht neue Unklarheit erzeugen.</w:t>
      </w:r>
    </w:p>
    <w:p>
      <w:r>
        <w:t>Parallel oder anschließend erfolgen Vertragsverhandlungen. Hier müssen fachliche Anforderungen, Anbieterzusagen, Leistungsumfang, Projektvorgehen, Mitwirkungspflichten, Service Levels, Lizenzbedingungen, Datenschutz, Change Requests, Haftung und Exit-Regelungen angemessen geregelt werden. Einkauf, Recht und Fachverantwortliche arbeiten eng zusammen.</w:t>
      </w:r>
    </w:p>
    <w:p>
      <w:r>
        <w:t>Der Berater stellt sicher, dass die Erkenntnisse aus Auswahl und Bewertung in die Vertragsphase überführt werden. Wichtige Zusagen aus Demos oder Angeboten dürfen nicht verloren gehen. Offene Punkte müssen geklärt oder bewusst als Risiken dokumentiert werden.</w:t>
      </w:r>
    </w:p>
    <w:p>
      <w:pPr>
        <w:pStyle w:val="Heading2"/>
      </w:pPr>
      <w:r>
        <w:t>7.20 Phase 18: Übergabe in Implementierung und Nutzencontrolling</w:t>
      </w:r>
    </w:p>
    <w:p>
      <w:r>
        <w:t>Die letzte Phase des Auswahlprojektes ist die Übergabe in die Implementierung. Diese Phase wird häufig unterschätzt. Viele Auswahlprojekte enden formal mit der Entscheidung oder Vertragsunterzeichnung. Für den Projekterfolg ist jedoch entscheidend, dass Wissen, Annahmen, Anforderungen, Bewertungen und Risiken sauber an das Implementierungsteam übergeben werden.</w:t>
      </w:r>
    </w:p>
    <w:p>
      <w:r>
        <w:t>Die Übergabe umfasst Lastenheft, Anforderungskatalog, offene Punkte, priorisierte Anforderungen, Prozessbeschreibungen, Bewertungsentscheidungen, Anbieterzusagen, Vertragsgrundlagen, Risiken, Annahmen und empfohlene nächste Schritte. Dadurch muss das Implementierungsteam nicht erneut bei null beginnen.</w:t>
      </w:r>
    </w:p>
    <w:p>
      <w:r>
        <w:t>Nutzencontrolling beginnt ebenfalls nicht erst nach dem Go-live. Bereits im Auswahlprojekt wurden Ziele und erwartete Nutzen definiert. Diese müssen in messbare Indikatoren überführt werden, damit später bewertet werden kann, ob die Softwareentscheidung den gewünschten Effekt erzielt. Beispiele sind Prozessdurchlaufzeiten, Fehlerquoten, Automatisierungsgrad, Datenqualität, Benutzerakzeptanz, Transparenz oder Betriebskosten.</w:t>
      </w:r>
    </w:p>
    <w:p>
      <w:r>
        <w:t>Das Ergebnis dieser Phase ist ein geordneter Übergabeprozess. Damit schließt sich der Kreis: Aus der strategischen Ausgangsfrage wird eine umsetzungsfähige Entscheidung, die in ein Implementierungsprojekt überführt werden kann.</w:t>
      </w:r>
    </w:p>
    <w:p>
      <w:pPr>
        <w:pStyle w:val="Heading2"/>
      </w:pPr>
      <w:r>
        <w:t>7.21 Zusammenspiel von Phasen, Quality Gates und Deliverables</w:t>
      </w:r>
    </w:p>
    <w:p>
      <w:r>
        <w:t>Das 18-Phasen-Modell entfaltet seine Wirkung erst durch das Zusammenspiel von Phasen, Quality Gates und Deliverables. Jede Phase erzeugt ein Ergebnis, dieses Ergebnis wird geprüft und anschließend als Grundlage für die nächste Phase verwendet. Dadurch entsteht ein kontrollierter Projektfluss.</w:t>
      </w:r>
    </w:p>
    <w:p>
      <w:r>
        <w:t>Wenn dieses Zusammenspiel fehlt, werden Phasen zwar formal durchlaufen, aber nicht wirksam abgeschlossen. Ein Projekt kann beispielsweise Workshops zur Anforderungserhebung durchgeführt haben, ohne dass Anforderungen wirklich freigegeben sind. Es kann Anbieterpräsentationen durchgeführt haben, ohne dass die Bewertungsmethodik sauber angewendet wurde. Es kann eine Entscheidungsvorlage erstellen, ohne dass Risiken ausreichend dokumentiert sind. Quality Gates verhindern solche Scheinfortschritte.</w:t>
      </w:r>
    </w:p>
    <w:p>
      <w:r>
        <w:t>Der Berater muss daher nicht nur Inhalte erstellen, sondern den Reifegrad der Ergebnisse beurteilen. Er fragt: Ist dieses Ergebnis vollständig genug? Ist es abgestimmt? Ist es freigegeben? Kann die nächste Phase darauf aufbauen? Wenn nicht, muss Nacharbeit erfolgen.</w:t>
      </w:r>
    </w:p>
    <w:p>
      <w:r>
        <w:t>Damit wird das Phasenmodell zu einem Qualitätsmodell. Es beschreibt nicht nur Reihenfolge, sondern auch Reifegrad.</w:t>
      </w:r>
    </w:p>
    <w:p>
      <w:pPr>
        <w:pStyle w:val="Heading2"/>
      </w:pPr>
      <w:r>
        <w:t>7.22 Typische Fehler beim Einsatz des Phasenmodells</w:t>
      </w:r>
    </w:p>
    <w:p>
      <w:r>
        <w:t>Der häufigste Fehler besteht darin, Phasen zu überspringen. Besonders oft werden strategische Leitplanken, Capability Map oder Bewertungsmethodik verkürzt, weil das Projekt schnell in den Markt gehen möchte. Dadurch entstehen spätere Unsicherheiten, die deutlich mehr Zeit kosten als die eingesparte Vorarbeit.</w:t>
      </w:r>
    </w:p>
    <w:p>
      <w:r>
        <w:t>Ein zweiter Fehler ist die Überdetaillierung früher Phasen. Nicht jede Ist-Analyse muss monatelang dauern. Nicht jeder Prozess muss vollständig modelliert werden. Der Berater muss die notwendige Tiefe abhängig von Projektrisiko und Entscheidungskomplexität wählen.</w:t>
      </w:r>
    </w:p>
    <w:p>
      <w:r>
        <w:t>Ein dritter Fehler besteht darin, Iterationen nicht zu steuern. Neue Erkenntnisse sind normal. Problematisch wird es, wenn Anforderungen, Bewertungen oder Scope informell verändert werden. Jede relevante Änderung muss dokumentiert und freigegeben werden.</w:t>
      </w:r>
    </w:p>
    <w:p>
      <w:r>
        <w:t>Ein vierter Fehler ist die fehlende Verbindung zwischen Phasen. Wenn Capabilities nicht in Anforderungen einfließen, Anforderungen nicht in Bewertungskriterien übersetzt werden oder Bewertungen nicht in Vertragsunterlagen überführt werden, entsteht ein methodischer Bruch. Das ASF legt deshalb großen Wert auf Traceability.</w:t>
      </w:r>
    </w:p>
    <w:p>
      <w:r>
        <w:t>Ein fünfter Fehler besteht darin, das Modell als Checkliste statt als Denkmodell zu nutzen. Die Phasen sind nicht nur abzuhaken. Jede Phase hat einen Zweck. Der Berater muss diesen Zweck verstehen und das Vorgehen an die Projektsituation anpassen.</w:t>
      </w:r>
    </w:p>
    <w:p>
      <w:pPr>
        <w:pStyle w:val="Heading2"/>
      </w:pPr>
      <w:r>
        <w:t>7.23 Best Practices für die Anwendung des 18-Phasen-Modells</w:t>
      </w:r>
    </w:p>
    <w:p>
      <w:r>
        <w:t>Eine bewährte Praxis besteht darin, das Phasenmodell zu Beginn als gemeinsame Projektlandkarte zu nutzen. Alle Beteiligten sollten wissen, wo das Projekt steht, welche Ergebnisse als Nächstes entstehen und welche Entscheidungen vorbereitet werden. Dadurch entsteht Orientierung.</w:t>
      </w:r>
    </w:p>
    <w:p>
      <w:r>
        <w:t>Eine zweite Best Practice ist die Verknüpfung des Phasenmodells mit dem Projektplan. Jede Phase erhält Termine, Verantwortlichkeiten und Deliverables. Dadurch wird aus der Methodik ein steuerbarer Projektablauf.</w:t>
      </w:r>
    </w:p>
    <w:p>
      <w:r>
        <w:t>Eine dritte Best Practice besteht darin, Quality Gates konsequent vorzubereiten. Der Berater sollte vor jedem Quality Gate prüfen, ob Unterlagen vollständig sind, offene Punkte benannt wurden und Entscheidungen klar formuliert sind.</w:t>
      </w:r>
    </w:p>
    <w:p>
      <w:r>
        <w:t>Eine vierte Best Practice ist die fortlaufende Traceability. Anforderungen sollten auf Capabilities und Sollprozesse zurückführbar sein. Bewertungskriterien sollten auf Anforderungen und Leitplanken zurückführbar sein. Entscheidungsvorlagen sollten auf Bewertungsergebnisse zurückführbar sein.</w:t>
      </w:r>
    </w:p>
    <w:p>
      <w:r>
        <w:t>Eine fünfte Best Practice ist die bewusste Skalierung. Das Modell gilt für kleine und große Projekte, aber nicht jede Phase hat immer denselben Umfang. Der Berater muss die Methodik passend dimensionieren.</w:t>
      </w:r>
    </w:p>
    <w:p>
      <w:pPr>
        <w:pStyle w:val="Heading2"/>
      </w:pPr>
      <w:r>
        <w:t>7.24 Berater-Checkliste zu Kapitel 7</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E375A"/>
          </w:tcPr>
          <w:p>
            <w:r>
              <w:rPr>
                <w:b/>
                <w:color w:val="FFFFFF"/>
                <w:sz w:val="16"/>
              </w:rPr>
              <w:t>Prüffrage</w:t>
            </w:r>
          </w:p>
        </w:tc>
        <w:tc>
          <w:tcPr>
            <w:tcW w:type="dxa" w:w="4816"/>
            <w:vAlign w:val="center"/>
            <w:shd w:fill="1E375A"/>
          </w:tcPr>
          <w:p>
            <w:r>
              <w:rPr>
                <w:b/>
                <w:color w:val="FFFFFF"/>
                <w:sz w:val="16"/>
              </w:rPr>
              <w:t>Ziel</w:t>
            </w:r>
          </w:p>
        </w:tc>
      </w:tr>
      <w:tr>
        <w:tc>
          <w:tcPr>
            <w:tcW w:type="dxa" w:w="4816"/>
            <w:vAlign w:val="top"/>
          </w:tcPr>
          <w:p>
            <w:r>
              <w:rPr>
                <w:sz w:val="15"/>
              </w:rPr>
              <w:t>Ist der Managementauftrag vor Projektstart ausreichend klar?</w:t>
            </w:r>
          </w:p>
        </w:tc>
        <w:tc>
          <w:tcPr>
            <w:tcW w:type="dxa" w:w="4816"/>
            <w:vAlign w:val="top"/>
          </w:tcPr>
          <w:p>
            <w:r>
              <w:rPr>
                <w:sz w:val="15"/>
              </w:rPr>
              <w:t>Projekt legitimieren und Richtung sichern.</w:t>
            </w:r>
          </w:p>
        </w:tc>
      </w:tr>
      <w:tr>
        <w:tc>
          <w:tcPr>
            <w:tcW w:type="dxa" w:w="4816"/>
            <w:vAlign w:val="top"/>
          </w:tcPr>
          <w:p>
            <w:r>
              <w:rPr>
                <w:sz w:val="15"/>
              </w:rPr>
              <w:t>Sind Governance, Rollen und Quality Gates definiert?</w:t>
            </w:r>
          </w:p>
        </w:tc>
        <w:tc>
          <w:tcPr>
            <w:tcW w:type="dxa" w:w="4816"/>
            <w:vAlign w:val="top"/>
          </w:tcPr>
          <w:p>
            <w:r>
              <w:rPr>
                <w:sz w:val="15"/>
              </w:rPr>
              <w:t>Steuerungsfähigkeit herstellen.</w:t>
            </w:r>
          </w:p>
        </w:tc>
      </w:tr>
      <w:tr>
        <w:tc>
          <w:tcPr>
            <w:tcW w:type="dxa" w:w="4816"/>
            <w:vAlign w:val="top"/>
          </w:tcPr>
          <w:p>
            <w:r>
              <w:rPr>
                <w:sz w:val="15"/>
              </w:rPr>
              <w:t>Wurden Stakeholder und Projektumfeld systematisch analysiert?</w:t>
            </w:r>
          </w:p>
        </w:tc>
        <w:tc>
          <w:tcPr>
            <w:tcW w:type="dxa" w:w="4816"/>
            <w:vAlign w:val="top"/>
          </w:tcPr>
          <w:p>
            <w:r>
              <w:rPr>
                <w:sz w:val="15"/>
              </w:rPr>
              <w:t>Akzeptanz und Risiken früh erkennen.</w:t>
            </w:r>
          </w:p>
        </w:tc>
      </w:tr>
      <w:tr>
        <w:tc>
          <w:tcPr>
            <w:tcW w:type="dxa" w:w="4816"/>
            <w:vAlign w:val="top"/>
          </w:tcPr>
          <w:p>
            <w:r>
              <w:rPr>
                <w:sz w:val="15"/>
              </w:rPr>
              <w:t>Sind strategische Leitplanken dokumentiert und freigegeben?</w:t>
            </w:r>
          </w:p>
        </w:tc>
        <w:tc>
          <w:tcPr>
            <w:tcW w:type="dxa" w:w="4816"/>
            <w:vAlign w:val="top"/>
          </w:tcPr>
          <w:p>
            <w:r>
              <w:rPr>
                <w:sz w:val="15"/>
              </w:rPr>
              <w:t>Bewertung an Unternehmenszielen ausrichten.</w:t>
            </w:r>
          </w:p>
        </w:tc>
      </w:tr>
      <w:tr>
        <w:tc>
          <w:tcPr>
            <w:tcW w:type="dxa" w:w="4816"/>
            <w:vAlign w:val="top"/>
          </w:tcPr>
          <w:p>
            <w:r>
              <w:rPr>
                <w:sz w:val="15"/>
              </w:rPr>
              <w:t>Ist die Ist-Analyse ausreichend, aber nicht überdimensioniert?</w:t>
            </w:r>
          </w:p>
        </w:tc>
        <w:tc>
          <w:tcPr>
            <w:tcW w:type="dxa" w:w="4816"/>
            <w:vAlign w:val="top"/>
          </w:tcPr>
          <w:p>
            <w:r>
              <w:rPr>
                <w:sz w:val="15"/>
              </w:rPr>
              <w:t>Relevante Ausgangslage verstehen.</w:t>
            </w:r>
          </w:p>
        </w:tc>
      </w:tr>
      <w:tr>
        <w:tc>
          <w:tcPr>
            <w:tcW w:type="dxa" w:w="4816"/>
            <w:vAlign w:val="top"/>
          </w:tcPr>
          <w:p>
            <w:r>
              <w:rPr>
                <w:sz w:val="15"/>
              </w:rPr>
              <w:t>Gibt es eine priorisierte Capability Map?</w:t>
            </w:r>
          </w:p>
        </w:tc>
        <w:tc>
          <w:tcPr>
            <w:tcW w:type="dxa" w:w="4816"/>
            <w:vAlign w:val="top"/>
          </w:tcPr>
          <w:p>
            <w:r>
              <w:rPr>
                <w:sz w:val="15"/>
              </w:rPr>
              <w:t>Fachlichen Ordnungsrahmen schaffen.</w:t>
            </w:r>
          </w:p>
        </w:tc>
      </w:tr>
      <w:tr>
        <w:tc>
          <w:tcPr>
            <w:tcW w:type="dxa" w:w="4816"/>
            <w:vAlign w:val="top"/>
          </w:tcPr>
          <w:p>
            <w:r>
              <w:rPr>
                <w:sz w:val="15"/>
              </w:rPr>
              <w:t>Sind Sollprozesse beschrieben, bevor Anforderungen finalisiert werden?</w:t>
            </w:r>
          </w:p>
        </w:tc>
        <w:tc>
          <w:tcPr>
            <w:tcW w:type="dxa" w:w="4816"/>
            <w:vAlign w:val="top"/>
          </w:tcPr>
          <w:p>
            <w:r>
              <w:rPr>
                <w:sz w:val="15"/>
              </w:rPr>
              <w:t>Status-quo-Digitalisierung vermeiden.</w:t>
            </w:r>
          </w:p>
        </w:tc>
      </w:tr>
      <w:tr>
        <w:tc>
          <w:tcPr>
            <w:tcW w:type="dxa" w:w="4816"/>
            <w:vAlign w:val="top"/>
          </w:tcPr>
          <w:p>
            <w:r>
              <w:rPr>
                <w:sz w:val="15"/>
              </w:rPr>
              <w:t>Sind funktionale und nicht-funktionale Anforderungen getrennt und verzahnt?</w:t>
            </w:r>
          </w:p>
        </w:tc>
        <w:tc>
          <w:tcPr>
            <w:tcW w:type="dxa" w:w="4816"/>
            <w:vAlign w:val="top"/>
          </w:tcPr>
          <w:p>
            <w:r>
              <w:rPr>
                <w:sz w:val="15"/>
              </w:rPr>
              <w:t>Fachliche und technische Eignung sichern.</w:t>
            </w:r>
          </w:p>
        </w:tc>
      </w:tr>
      <w:tr>
        <w:tc>
          <w:tcPr>
            <w:tcW w:type="dxa" w:w="4816"/>
            <w:vAlign w:val="top"/>
          </w:tcPr>
          <w:p>
            <w:r>
              <w:rPr>
                <w:sz w:val="15"/>
              </w:rPr>
              <w:t>Ist die Bewertungsmethodik vor Anbieterbewertung freigegeben?</w:t>
            </w:r>
          </w:p>
        </w:tc>
        <w:tc>
          <w:tcPr>
            <w:tcW w:type="dxa" w:w="4816"/>
            <w:vAlign w:val="top"/>
          </w:tcPr>
          <w:p>
            <w:r>
              <w:rPr>
                <w:sz w:val="15"/>
              </w:rPr>
              <w:t>Objektivität gewährleisten.</w:t>
            </w:r>
          </w:p>
        </w:tc>
      </w:tr>
      <w:tr>
        <w:tc>
          <w:tcPr>
            <w:tcW w:type="dxa" w:w="4816"/>
            <w:vAlign w:val="top"/>
          </w:tcPr>
          <w:p>
            <w:r>
              <w:rPr>
                <w:sz w:val="15"/>
              </w:rPr>
              <w:t>Sind Lastenheft und Ausschreibungsunterlagen konsistent?</w:t>
            </w:r>
          </w:p>
        </w:tc>
        <w:tc>
          <w:tcPr>
            <w:tcW w:type="dxa" w:w="4816"/>
            <w:vAlign w:val="top"/>
          </w:tcPr>
          <w:p>
            <w:r>
              <w:rPr>
                <w:sz w:val="15"/>
              </w:rPr>
              <w:t>Vergleichbare Anbieterantworten ermöglichen.</w:t>
            </w:r>
          </w:p>
        </w:tc>
      </w:tr>
      <w:tr>
        <w:tc>
          <w:tcPr>
            <w:tcW w:type="dxa" w:w="4816"/>
            <w:vAlign w:val="top"/>
          </w:tcPr>
          <w:p>
            <w:r>
              <w:rPr>
                <w:sz w:val="15"/>
              </w:rPr>
              <w:t>Ist die Longlist/Shortlist nachvollziehbar begründet?</w:t>
            </w:r>
          </w:p>
        </w:tc>
        <w:tc>
          <w:tcPr>
            <w:tcW w:type="dxa" w:w="4816"/>
            <w:vAlign w:val="top"/>
          </w:tcPr>
          <w:p>
            <w:r>
              <w:rPr>
                <w:sz w:val="15"/>
              </w:rPr>
              <w:t>Marktauswahl transparent machen.</w:t>
            </w:r>
          </w:p>
        </w:tc>
      </w:tr>
      <w:tr>
        <w:tc>
          <w:tcPr>
            <w:tcW w:type="dxa" w:w="4816"/>
            <w:vAlign w:val="top"/>
          </w:tcPr>
          <w:p>
            <w:r>
              <w:rPr>
                <w:sz w:val="15"/>
              </w:rPr>
              <w:t>Ist die Anbieterkommunikation geregelt?</w:t>
            </w:r>
          </w:p>
        </w:tc>
        <w:tc>
          <w:tcPr>
            <w:tcW w:type="dxa" w:w="4816"/>
            <w:vAlign w:val="top"/>
          </w:tcPr>
          <w:p>
            <w:r>
              <w:rPr>
                <w:sz w:val="15"/>
              </w:rPr>
              <w:t>Fairness und Vergleichbarkeit sicherstellen.</w:t>
            </w:r>
          </w:p>
        </w:tc>
      </w:tr>
      <w:tr>
        <w:tc>
          <w:tcPr>
            <w:tcW w:type="dxa" w:w="4816"/>
            <w:vAlign w:val="top"/>
          </w:tcPr>
          <w:p>
            <w:r>
              <w:rPr>
                <w:sz w:val="15"/>
              </w:rPr>
              <w:t>Sind Demo-Szenarien aus Anforderungen abgeleitet?</w:t>
            </w:r>
          </w:p>
        </w:tc>
        <w:tc>
          <w:tcPr>
            <w:tcW w:type="dxa" w:w="4816"/>
            <w:vAlign w:val="top"/>
          </w:tcPr>
          <w:p>
            <w:r>
              <w:rPr>
                <w:sz w:val="15"/>
              </w:rPr>
              <w:t>Präsentationen vergleichbar machen.</w:t>
            </w:r>
          </w:p>
        </w:tc>
      </w:tr>
      <w:tr>
        <w:tc>
          <w:tcPr>
            <w:tcW w:type="dxa" w:w="4816"/>
            <w:vAlign w:val="top"/>
          </w:tcPr>
          <w:p>
            <w:r>
              <w:rPr>
                <w:sz w:val="15"/>
              </w:rPr>
              <w:t>Verdichtet die Entscheidungsvorlage alle relevanten Dimensionen?</w:t>
            </w:r>
          </w:p>
        </w:tc>
        <w:tc>
          <w:tcPr>
            <w:tcW w:type="dxa" w:w="4816"/>
            <w:vAlign w:val="top"/>
          </w:tcPr>
          <w:p>
            <w:r>
              <w:rPr>
                <w:sz w:val="15"/>
              </w:rPr>
              <w:t>Managemententscheidung ermöglichen.</w:t>
            </w:r>
          </w:p>
        </w:tc>
      </w:tr>
      <w:tr>
        <w:tc>
          <w:tcPr>
            <w:tcW w:type="dxa" w:w="4816"/>
            <w:vAlign w:val="top"/>
          </w:tcPr>
          <w:p>
            <w:r>
              <w:rPr>
                <w:sz w:val="15"/>
              </w:rPr>
              <w:t>Werden PoC, Vertrag und Implementierungsübergabe aus den Auswahlunterlagen gespeist?</w:t>
            </w:r>
          </w:p>
        </w:tc>
        <w:tc>
          <w:tcPr>
            <w:tcW w:type="dxa" w:w="4816"/>
            <w:vAlign w:val="top"/>
          </w:tcPr>
          <w:p>
            <w:r>
              <w:rPr>
                <w:sz w:val="15"/>
              </w:rPr>
              <w:t>Bruch zwischen Auswahl und Umsetzung vermeiden.</w:t>
            </w:r>
          </w:p>
        </w:tc>
      </w:tr>
    </w:tbl>
    <w:p/>
    <w:p>
      <w:pPr>
        <w:pStyle w:val="Heading2"/>
      </w:pPr>
      <w:r>
        <w:t>7.25 Zusammenfassung</w:t>
      </w:r>
    </w:p>
    <w:p>
      <w:r>
        <w:t>Das 18-Phasen-Modell ist die operative Architektur des adtender Selection Frameworks. Es führt den Auswahlprozess von der strategischen Ausgangsfrage bis zur Übergabe in die Implementierung. Jede Phase hat einen klaren Zweck, erzeugt definierte Ergebnisse und ist mit Quality Gates verbunden.</w:t>
      </w:r>
    </w:p>
    <w:p>
      <w:r>
        <w:t>Für den Berater ist das Modell mehr als eine Projektplanung. Es ist ein Denk- und Führungsmodell. Es hilft, Kunden durch komplexe Entscheidungen zu führen, Anbieter vergleichbar zu bewerten, Zielkonflikte sichtbar zu machen und Projektergebnisse anschlussfähig zu dokumentieren.</w:t>
      </w:r>
    </w:p>
    <w:p>
      <w:r>
        <w:t>Die Stärke des Modells liegt in seiner Durchgängigkeit. Strategie, Capabilities, Sollprozesse, Anforderungen, Bewertung, Ausschreibung, Entscheidung und Vertrag werden nicht getrennt betrachtet, sondern als zusammenhängende Entscheidungskette. Dadurch entsteht die methodische Tiefe, die professionelle Softwareauswahl von einem reinen Beschaffungsprozess unterscheidet.</w:t>
      </w:r>
    </w:p>
    <w:p>
      <w:r>
        <w:t>Die folgenden Kapitel des Handbuchs vertiefen die einzelnen Bausteine dieses Modells. Kapitel 8 behandelt die Deliverables des ASF und beschreibt, welche Ergebnisse in den Phasen entstehen, wie sie aufgebaut sind und wie sie im Projektverlauf genutzt werden.</w:t>
      </w:r>
    </w:p>
    <w:sectPr w:rsidR="00FC693F" w:rsidRPr="0006063C" w:rsidSect="00034616">
      <w:headerReference w:type="default" r:id="rId9"/>
      <w:footerReference w:type="default" r:id="rId10"/>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left"/>
    </w:pPr>
    <w:r>
      <w:t>Kapitel 7 – 18-Phasen-Modell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SFSmall"/>
      <w:jc w:val="right"/>
    </w:pPr>
    <w:r>
      <w:t>adtender Selection Framework (ASF) | Methodenhandbuch | Kapitel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04"/>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E375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E375A"/>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374B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FBox">
    <w:name w:val="ASF Box"/>
    <w:pPr>
      <w:spacing w:after="80"/>
      <w:ind w:left="198" w:right="142"/>
    </w:pPr>
    <w:rPr>
      <w:rFonts w:ascii="Aptos" w:hAnsi="Aptos" w:eastAsia="Aptos"/>
      <w:color w:val="282828"/>
      <w:sz w:val="19"/>
    </w:rPr>
  </w:style>
  <w:style w:type="paragraph" w:customStyle="1" w:styleId="ASFSmall">
    <w:name w:val="ASF Small"/>
    <w:pPr>
      <w:spacing w:after="60"/>
    </w:pPr>
    <w:rPr>
      <w:rFonts w:ascii="Aptos" w:hAnsi="Aptos" w:eastAsia="Aptos"/>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