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Kapitel 9 – Dokumentenmodell</w:t>
      </w:r>
    </w:p>
    <w:p>
      <w:r>
        <w:rPr>
          <w:b/>
          <w:color w:val="1E375A"/>
          <w:sz w:val="25"/>
        </w:rPr>
        <w:t>Struktur, Versionierung, Ablage und digitale Übersetzung der Projektergebnisse</w:t>
      </w:r>
    </w:p>
    <w:p>
      <w:r>
        <w:t>Das Dokumentenmodell beschreibt, wie die im adtender Selection Framework entstehenden Ergebnisse strukturiert, gepflegt, versioniert, freigegeben, abgelegt und weiterverwendet werden. Während Kapitel 8 die inhaltliche Bedeutung der Deliverables erläutert hat, beantwortet dieses Kapitel die operative Frage, wie diese Deliverables als Dokumente, Arbeitsobjekte und spätere Datenobjekte beherrschbar bleiben. Das Dokumentenmodell ist damit eine wesentliche Voraussetzung für Qualität, Nachvollziehbarkeit und Wiederverwendbarkeit.</w:t>
      </w:r>
    </w:p>
    <w:p>
      <w:r>
        <w:t>In Softwareauswahlprojekten entsteht eine Vielzahl von Unterlagen. Einige dienen der internen Steuerung, andere der fachlichen Erarbeitung, andere der Kommunikation mit Anbietern und wieder andere der Managemententscheidung oder Vertragsvorbereitung. Ohne ein klares Dokumentenmodell werden diese Unterlagen schnell unübersichtlich. Unterschiedliche Versionen zirkulieren parallel, Anforderungen werden in mehreren Dateien gepflegt, Entscheidungen stehen in Protokollen, Anbieterantworten in E-Mails und Bewertungsstände in unterschiedlichen Tabellen. Dadurch verliert das Projekt an Transparenz und Steuerungsfähigkeit.</w:t>
      </w:r>
    </w:p>
    <w:p>
      <w:r>
        <w:t>Das ASF betrachtet Dokumente nicht als Ablageprodukte, sondern als methodische Träger des Auswahlprozesses. Jedes zentrale Dokument hat einen Zweck, einen Eigentümer, einen Status, eine Version, eine Freigabelogik und eine Verbindung zu anderen Dokumenten. Gleichzeitig wird berücksichtigt, dass viele Dokumente später nicht nur als Word-, Excel- oder PowerPoint-Dateien existieren sollen, sondern als strukturierte Objekte in einer digitalen Ausschreibungs- und Bewertungsplattform abgebildet werden können.</w:t>
      </w:r>
    </w:p>
    <w:p>
      <w:pPr>
        <w:pStyle w:val="Heading2"/>
      </w:pPr>
      <w:r>
        <w:t>9.1 Zweck des Dokumentenmodells</w:t>
      </w:r>
    </w:p>
    <w:p>
      <w:r>
        <w:t>Der Zweck eines Dokumentenmodells besteht darin, Ordnung in den Informationsraum eines Auswahlprojektes zu bringen. Es legt fest, welche Dokumente benötigt werden, wie sie aufgebaut sind, wer sie verantwortet, wie Änderungen erfolgen und welche Fassung verbindlich ist. Diese Ordnung ist keine formale Nebensache. Sie entscheidet darüber, ob Projektergebnisse im richtigen Moment verfügbar, verständlich und belastbar sind.</w:t>
      </w:r>
    </w:p>
    <w:p>
      <w:r>
        <w:t>In einem professionellen Auswahlprozess ist die Anzahl der Dokumente nicht der Maßstab für Qualität. Viele Dokumente können sogar ein Hinweis auf fehlende Struktur sein, wenn Inhalte mehrfach, widersprüchlich oder ohne klare Verwendung entstehen. Ein gutes Dokumentenmodell vermeidet Doppelpflege. Es definiert, welches Dokument führend ist und welche Dokumente aus ihm abgeleitet werden. Beispielsweise sollte der Anforderungskatalog die führende Quelle für Anforderungen sein. Lastenheft, Bewertungsmatrix, Demo-Szenarien und Anbieterantworten greifen darauf zu, sollten Anforderungen aber nicht unabhängig neu definieren.</w:t>
      </w:r>
    </w:p>
    <w:p>
      <w:r>
        <w:t>Das Dokumentenmodell sorgt außerdem für Entscheidungssicherheit. Wenn ein Lenkungsausschuss über eine Shortlist entscheidet, muss klar sein, welche Dokumente Grundlage der Entscheidung sind. Wenn Anbieter ein RFP erhalten, muss klar sein, welche Version des Lastenheftes und des Preisblattes gültig ist. Wenn das Implementierungsteam später startet, muss klar sein, welche Anforderungen vertraglich relevant sind und welche lediglich im Auswahlprozess als offene Punkte dokumentiert wurden.</w:t>
      </w:r>
    </w:p>
    <w:p>
      <w:r>
        <w:t>Für den Berater ist das Dokumentenmodell ein Arbeitsinstrument. Es hilft ihm, Projektunterlagen nicht nur zu erstellen, sondern aktiv zu steuern. Er kann damit dem Kunden erklären, welche Dokumente entstehen, warum sie erforderlich sind und wie sie zusammenspielen. Gleichzeitig schützt es den Berater vor einem häufigen Problem großer Projekte: dem Verlust des roten Fadens in einer Vielzahl von Dateien, Versionen und Abstimmungsständen.</w:t>
      </w:r>
    </w:p>
    <w:p>
      <w:pPr>
        <w:pStyle w:val="Heading2"/>
      </w:pPr>
      <w:r>
        <w:t>9.2 Grundprinzipien des ASF-Dokumentenmodells</w:t>
      </w:r>
    </w:p>
    <w:p>
      <w:r>
        <w:t>Das ASF-Dokumentenmodell folgt mehreren Grundprinzipien. Das erste Prinzip lautet: Jedes Dokument hat einen eindeutigen Zweck. Ein Dokument wird nicht erstellt, weil es üblich ist, sondern weil es eine Entscheidung vorbereitet, eine Arbeitsgrundlage liefert, eine Kommunikation ermöglicht oder eine Übergabe unterstützt. Der Zweck bestimmt Inhalt, Detailtiefe und Zielgruppe.</w:t>
      </w:r>
    </w:p>
    <w:p>
      <w:r>
        <w:t>Das zweite Prinzip lautet: Es gibt führende Dokumente. Nicht jede Information darf an mehreren Stellen unabhängig gepflegt werden. Anforderungen werden im Anforderungskatalog gepflegt, nicht parallel in Präsentationen, Protokollen und E-Mails. Anbieterfragen werden im Fragen-Antworten-Log gepflegt, nicht in individuellen Mailverläufen. Entscheidungen werden im Entscheidungsregister dokumentiert, nicht nur in Meetingnotizen. Diese Führungslogik reduziert Widersprüche.</w:t>
      </w:r>
    </w:p>
    <w:p>
      <w:r>
        <w:t>Das dritte Prinzip lautet: Dokumente müssen versioniert werden. In Auswahlprojekten entwickeln sich Inhalte weiter. Versionierung ist daher kein administrativer Luxus, sondern Voraussetzung für Nachvollziehbarkeit. Jede freigegebene Fassung muss identifizierbar bleiben. Änderungen an Anforderungen, Bewertungslogik oder Ausschreibungsunterlagen müssen nachvollziehbar dokumentiert sein.</w:t>
      </w:r>
    </w:p>
    <w:p>
      <w:r>
        <w:t>Das vierte Prinzip lautet: Dokumente haben einen Status. Ein Entwurf ist nicht dasselbe wie eine freigegebene Fassung. Ein Dokument in Abstimmung darf nicht ungeprüft als verbindliche Grundlage verwendet werden. Ein ersetztes Dokument darf nicht mehr an Anbieter versendet werden. Statusklarheit verhindert Fehlkommunikation und methodische Brüche.</w:t>
      </w:r>
    </w:p>
    <w:p>
      <w:r>
        <w:t>Das fünfte Prinzip lautet: Dokumente müssen anschlussfähig sein. Ein Dokument wird nicht isoliert betrachtet, sondern als Teil einer Ergebnis- und Entscheidungskette. Der Projektauftrag führt zu Leitplanken, Leitplanken zu Capabilities, Capabilities zu Anforderungen, Anforderungen zu Bewertung und Ausschreibung, Bewertung zu Entscheidung und Vertrag. Das Dokumentenmodell muss diese Anschlussfähigkeit sichtbar machen.</w:t>
      </w:r>
    </w:p>
    <w:tbl>
      <w:tblPr>
        <w:tblW w:type="auto" w:w="0"/>
        <w:jc w:val="center"/>
        <w:tblLook w:firstColumn="1" w:firstRow="1" w:lastColumn="0" w:lastRow="0" w:noHBand="0" w:noVBand="1" w:val="04A0"/>
      </w:tblPr>
      <w:tblGrid>
        <w:gridCol w:w="9632"/>
      </w:tblGrid>
      <w:tr>
        <w:tc>
          <w:tcPr>
            <w:tcW w:type="dxa" w:w="9632"/>
            <w:shd w:fill="EEF3F8"/>
            <w:tcBorders>
              <w:top w:val="single" w:sz="8" w:space="0" w:color="9EB6D8"/>
              <w:left w:val="single" w:sz="8" w:space="0" w:color="9EB6D8"/>
              <w:bottom w:val="single" w:sz="8" w:space="0" w:color="9EB6D8"/>
              <w:right w:val="single" w:sz="8" w:space="0" w:color="9EB6D8"/>
            </w:tcBorders>
          </w:tcPr>
          <w:p>
            <w:r>
              <w:rPr>
                <w:b/>
                <w:color w:val="1E375A"/>
                <w:sz w:val="20"/>
              </w:rPr>
              <w:t>Beraterhinweis</w:t>
            </w:r>
          </w:p>
          <w:p>
            <w:pPr>
              <w:pStyle w:val="ASFBox"/>
            </w:pPr>
            <w:r>
              <w:t>Ein schwaches Dokumentenmodell erkennt man häufig daran, dass Projektbeteiligte fragen: 'Welche Version ist denn jetzt die richtige?' oder 'Wo steht die finale Entscheidung?' Wenn solche Fragen wiederholt auftreten, liegt kein individuelles Kommunikationsproblem vor, sondern ein strukturelles Problem der Dokumentenführung.</w:t>
            </w:r>
          </w:p>
        </w:tc>
      </w:tr>
    </w:tbl>
    <w:p/>
    <w:p>
      <w:pPr>
        <w:pStyle w:val="Heading2"/>
      </w:pPr>
      <w:r>
        <w:t>9.3 Dokumentenklassen im ASF</w:t>
      </w:r>
    </w:p>
    <w:p>
      <w:r>
        <w:t>Nicht alle Dokumente im Auswahlprojekt haben denselben Charakter. Das ASF unterscheidet mehrere Dokumentenklassen, weil jede Klasse unterschiedliche Anforderungen an Struktur, Freigabe und Nutzung hat. Diese Unterscheidung hilft, Dokumente richtig zu behandeln und unnötige Bürokratie zu vermeiden.</w:t>
      </w:r>
    </w:p>
    <w:p>
      <w:r>
        <w:t>Steuerungsdokumente dienen der Projektführung. Dazu gehören Projektauftrag, Projektplan, Governance-Modell, Rollenmatrix, Entscheidungsregister, Risiko- und Offene-Punkte-Register sowie Statusberichte. Sie schaffen Transparenz über Auftrag, Fortschritt, Risiken und Entscheidungen. Sie werden in der Regel von Projektleitung und Berater gepflegt und durch geeignete Gremien freigegeben oder zur Kenntnis genommen.</w:t>
      </w:r>
    </w:p>
    <w:p>
      <w:r>
        <w:t>Fachdokumente beschreiben Inhalte des Zielbildes und der Anforderungen. Dazu gehören Stakeholderanalyse, Ist-Analyse, Capability Map, Sollprozesse, funktionaler und nicht-funktionaler Anforderungskatalog sowie fachliche Szenarien. Sie entstehen in Zusammenarbeit mit Fachbereichen, IT und weiteren Experten. Ihre Qualität bestimmt die fachliche Belastbarkeit des Auswahlprozesses.</w:t>
      </w:r>
    </w:p>
    <w:p>
      <w:r>
        <w:t>Ausschreibungsdokumente richten sich an Anbieter oder strukturieren die Kommunikation mit ihnen. Dazu gehören RFI, RFP, Lastenheft, Preisblatt, Antwortformate, Fragen-Antworten-Log, Demo-Drehbuch und Bieterinformationen. Diese Dokumente müssen besonders kontrolliert versioniert und freigegeben werden, weil sie die Grundlage für externe Kommunikation und Vergleichbarkeit bilden.</w:t>
      </w:r>
    </w:p>
    <w:p>
      <w:r>
        <w:t>Bewertungsdokumente dienen der Auswertung. Dazu gehören Bewertungsmethodik, Scoringmodelle, Bewertungsbögen, Angebotsauswertung, Demo-Auswertung, Gesamtbewertung und Entscheidungsvorlage. Sie müssen methodisch konsistent sein und dürfen nicht nachträglich intransparente Änderungen erfahren.</w:t>
      </w:r>
    </w:p>
    <w:p>
      <w:r>
        <w:t>Vertrags- und Übergabedokumente sichern die Überführung der Auswahl in Umsetzung. Dazu gehören Vertragsanhänge, Leistungsbeschreibung, offene Punkte für Vertragsverhandlungen, PoC-Ergebnisse, Implementierungsübergabe, Lessons Learned und Nutzencontrolling-Ansatz. Diese Dokumente sind besonders wichtig, damit Erkenntnisse aus der Auswahl nicht verloren gehen.</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6"/>
              </w:rPr>
              <w:t>Dokumentenklasse</w:t>
            </w:r>
          </w:p>
        </w:tc>
        <w:tc>
          <w:tcPr>
            <w:tcW w:type="dxa" w:w="3211"/>
            <w:vAlign w:val="center"/>
            <w:shd w:fill="1E375A"/>
          </w:tcPr>
          <w:p>
            <w:r>
              <w:rPr>
                <w:b/>
                <w:color w:val="FFFFFF"/>
                <w:sz w:val="16"/>
              </w:rPr>
              <w:t>Zweck</w:t>
            </w:r>
          </w:p>
        </w:tc>
        <w:tc>
          <w:tcPr>
            <w:tcW w:type="dxa" w:w="3211"/>
            <w:vAlign w:val="center"/>
            <w:shd w:fill="1E375A"/>
          </w:tcPr>
          <w:p>
            <w:r>
              <w:rPr>
                <w:b/>
                <w:color w:val="FFFFFF"/>
                <w:sz w:val="16"/>
              </w:rPr>
              <w:t>Beispiele</w:t>
            </w:r>
          </w:p>
        </w:tc>
      </w:tr>
      <w:tr>
        <w:tc>
          <w:tcPr>
            <w:tcW w:type="dxa" w:w="3211"/>
            <w:vAlign w:val="top"/>
          </w:tcPr>
          <w:p>
            <w:r>
              <w:rPr>
                <w:sz w:val="15"/>
              </w:rPr>
              <w:t>Steuerungsdokumente</w:t>
            </w:r>
          </w:p>
        </w:tc>
        <w:tc>
          <w:tcPr>
            <w:tcW w:type="dxa" w:w="3211"/>
            <w:vAlign w:val="top"/>
          </w:tcPr>
          <w:p>
            <w:r>
              <w:rPr>
                <w:sz w:val="15"/>
              </w:rPr>
              <w:t>Projektführung, Entscheidungen und Governance absichern</w:t>
            </w:r>
          </w:p>
        </w:tc>
        <w:tc>
          <w:tcPr>
            <w:tcW w:type="dxa" w:w="3211"/>
            <w:vAlign w:val="top"/>
          </w:tcPr>
          <w:p>
            <w:r>
              <w:rPr>
                <w:sz w:val="15"/>
              </w:rPr>
              <w:t>Projektauftrag, Projektplan, Entscheidungsregister, Risikoregister, Statusbericht</w:t>
            </w:r>
          </w:p>
        </w:tc>
      </w:tr>
      <w:tr>
        <w:tc>
          <w:tcPr>
            <w:tcW w:type="dxa" w:w="3211"/>
            <w:vAlign w:val="top"/>
          </w:tcPr>
          <w:p>
            <w:r>
              <w:rPr>
                <w:sz w:val="15"/>
              </w:rPr>
              <w:t>Fachdokumente</w:t>
            </w:r>
          </w:p>
        </w:tc>
        <w:tc>
          <w:tcPr>
            <w:tcW w:type="dxa" w:w="3211"/>
            <w:vAlign w:val="top"/>
          </w:tcPr>
          <w:p>
            <w:r>
              <w:rPr>
                <w:sz w:val="15"/>
              </w:rPr>
              <w:t>Fachlichen Bedarf und Zielzustand beschreiben</w:t>
            </w:r>
          </w:p>
        </w:tc>
        <w:tc>
          <w:tcPr>
            <w:tcW w:type="dxa" w:w="3211"/>
            <w:vAlign w:val="top"/>
          </w:tcPr>
          <w:p>
            <w:r>
              <w:rPr>
                <w:sz w:val="15"/>
              </w:rPr>
              <w:t>Capability Map, Sollprozesse, Anforderungskataloge, Ist-Analyse</w:t>
            </w:r>
          </w:p>
        </w:tc>
      </w:tr>
      <w:tr>
        <w:tc>
          <w:tcPr>
            <w:tcW w:type="dxa" w:w="3211"/>
            <w:vAlign w:val="top"/>
          </w:tcPr>
          <w:p>
            <w:r>
              <w:rPr>
                <w:sz w:val="15"/>
              </w:rPr>
              <w:t>Ausschreibungsdokumente</w:t>
            </w:r>
          </w:p>
        </w:tc>
        <w:tc>
          <w:tcPr>
            <w:tcW w:type="dxa" w:w="3211"/>
            <w:vAlign w:val="top"/>
          </w:tcPr>
          <w:p>
            <w:r>
              <w:rPr>
                <w:sz w:val="15"/>
              </w:rPr>
              <w:t>Anbieterkommunikation und Angebotsvergleich strukturieren</w:t>
            </w:r>
          </w:p>
        </w:tc>
        <w:tc>
          <w:tcPr>
            <w:tcW w:type="dxa" w:w="3211"/>
            <w:vAlign w:val="top"/>
          </w:tcPr>
          <w:p>
            <w:r>
              <w:rPr>
                <w:sz w:val="15"/>
              </w:rPr>
              <w:t>RFI, RFP, Lastenheft, Preisblatt, Q&amp;A-Log, Demo-Drehbuch</w:t>
            </w:r>
          </w:p>
        </w:tc>
      </w:tr>
      <w:tr>
        <w:tc>
          <w:tcPr>
            <w:tcW w:type="dxa" w:w="3211"/>
            <w:vAlign w:val="top"/>
          </w:tcPr>
          <w:p>
            <w:r>
              <w:rPr>
                <w:sz w:val="15"/>
              </w:rPr>
              <w:t>Bewertungsdokumente</w:t>
            </w:r>
          </w:p>
        </w:tc>
        <w:tc>
          <w:tcPr>
            <w:tcW w:type="dxa" w:w="3211"/>
            <w:vAlign w:val="top"/>
          </w:tcPr>
          <w:p>
            <w:r>
              <w:rPr>
                <w:sz w:val="15"/>
              </w:rPr>
              <w:t>Anbieter objektiv und nachvollziehbar beurteilen</w:t>
            </w:r>
          </w:p>
        </w:tc>
        <w:tc>
          <w:tcPr>
            <w:tcW w:type="dxa" w:w="3211"/>
            <w:vAlign w:val="top"/>
          </w:tcPr>
          <w:p>
            <w:r>
              <w:rPr>
                <w:sz w:val="15"/>
              </w:rPr>
              <w:t>Bewertungsmatrix, Scoringmodell, Demo-Auswertung, Entscheidungsvorlage</w:t>
            </w:r>
          </w:p>
        </w:tc>
      </w:tr>
      <w:tr>
        <w:tc>
          <w:tcPr>
            <w:tcW w:type="dxa" w:w="3211"/>
            <w:vAlign w:val="top"/>
          </w:tcPr>
          <w:p>
            <w:r>
              <w:rPr>
                <w:sz w:val="15"/>
              </w:rPr>
              <w:t>Vertragsdokumente</w:t>
            </w:r>
          </w:p>
        </w:tc>
        <w:tc>
          <w:tcPr>
            <w:tcW w:type="dxa" w:w="3211"/>
            <w:vAlign w:val="top"/>
          </w:tcPr>
          <w:p>
            <w:r>
              <w:rPr>
                <w:sz w:val="15"/>
              </w:rPr>
              <w:t>Auswahlentscheidung rechtlich und kommerziell absichern</w:t>
            </w:r>
          </w:p>
        </w:tc>
        <w:tc>
          <w:tcPr>
            <w:tcW w:type="dxa" w:w="3211"/>
            <w:vAlign w:val="top"/>
          </w:tcPr>
          <w:p>
            <w:r>
              <w:rPr>
                <w:sz w:val="15"/>
              </w:rPr>
              <w:t>Leistungsbeschreibung, Vertragsanhänge, Verhandlungsliste, SLA-Übersicht</w:t>
            </w:r>
          </w:p>
        </w:tc>
      </w:tr>
      <w:tr>
        <w:tc>
          <w:tcPr>
            <w:tcW w:type="dxa" w:w="3211"/>
            <w:vAlign w:val="top"/>
          </w:tcPr>
          <w:p>
            <w:r>
              <w:rPr>
                <w:sz w:val="15"/>
              </w:rPr>
              <w:t>Übergabedokumente</w:t>
            </w:r>
          </w:p>
        </w:tc>
        <w:tc>
          <w:tcPr>
            <w:tcW w:type="dxa" w:w="3211"/>
            <w:vAlign w:val="top"/>
          </w:tcPr>
          <w:p>
            <w:r>
              <w:rPr>
                <w:sz w:val="15"/>
              </w:rPr>
              <w:t>Implementierung vorbereiten und Wissen sichern</w:t>
            </w:r>
          </w:p>
        </w:tc>
        <w:tc>
          <w:tcPr>
            <w:tcW w:type="dxa" w:w="3211"/>
            <w:vAlign w:val="top"/>
          </w:tcPr>
          <w:p>
            <w:r>
              <w:rPr>
                <w:sz w:val="15"/>
              </w:rPr>
              <w:t>Übergabepaket, offene Punkte, Nutzencontrolling, Lessons Learned</w:t>
            </w:r>
          </w:p>
        </w:tc>
      </w:tr>
    </w:tbl>
    <w:p/>
    <w:p>
      <w:pPr>
        <w:pStyle w:val="Heading2"/>
      </w:pPr>
      <w:r>
        <w:t>9.4 Führende Dokumente und Single Source of Truth</w:t>
      </w:r>
    </w:p>
    <w:p>
      <w:r>
        <w:t>Ein wesentliches Ziel des Dokumentenmodells ist die Definition führender Dokumente. In jedem Projekt muss klar sein, welche Datei oder welches Datenobjekt die verbindliche Quelle für bestimmte Informationen ist. Dieses Prinzip wird häufig als Single Source of Truth bezeichnet. Es reduziert Widersprüche und verhindert, dass Informationen in mehreren parallelen Dokumenten auseinanderlaufen.</w:t>
      </w:r>
    </w:p>
    <w:p>
      <w:r>
        <w:t>Der Anforderungskatalog ist ein typisches Beispiel. Anforderungen werden häufig in Workshops, Protokollen, Präsentationen, Excel-Dateien und Lastenheften erwähnt. Wenn nicht klar ist, welche Quelle führend ist, entstehen Inkonsistenzen. Eine Anforderung kann in einer Präsentation als wichtig erscheinen, im Lastenheft fehlen und in einer Bewertungsmatrix anders formuliert sein. Anbieter können dann nicht zuverlässig antworten, und Bewertungen verlieren ihre Grundlage.</w:t>
      </w:r>
    </w:p>
    <w:p>
      <w:r>
        <w:t>Im ASF ist der strukturierte Anforderungskatalog die führende Quelle für Anforderungen. Das Lastenheft nutzt diese Anforderungen, die Bewertungsmatrix referenziert sie, Demo-Szenarien leiten sich daraus ab und Anbieterantworten beziehen sich darauf. Änderungen erfolgen am führenden Objekt und werden anschließend in abgeleitete Dokumente übernommen. Dadurch bleibt die Kette konsistent.</w:t>
      </w:r>
    </w:p>
    <w:p>
      <w:r>
        <w:t>Dasselbe gilt für Entscheidungen. Entscheidungen dürfen nicht nur in E-Mails, Chatnachrichten oder Protokollen verstreut sein. Das Entscheidungsregister ist die führende Quelle für wesentliche Projektentscheidungen. Protokolle können Entscheidungen enthalten, aber relevante Entscheidungen werden in das Register übertragen. So bleibt nachvollziehbar, wann und warum etwas entschieden wurde.</w:t>
      </w:r>
    </w:p>
    <w:p>
      <w:r>
        <w:t>Auch Anbieterfragen benötigen eine führende Quelle. Das Fragen-Antworten-Log ist verbindlich. Es dokumentiert Anfrage, Antwort, Datum, betroffene Unterlage, Version und gegebenenfalls Auswirkung auf Ausschreibungsunterlagen. Ohne ein solches Log entstehen unterschiedliche Informationsstände und damit Bewertungsrisiken.</w:t>
      </w:r>
    </w:p>
    <w:p>
      <w:r>
        <w:t>Der Berater muss diese Führungslogik aktiv etablieren. Sie sollte im Projekt-Kick-off und spätestens vor der Ausschreibung erklärt werden. Alle Beteiligten müssen wissen, wo Anforderungen, Entscheidungen, Anbieterfragen und Versionen verbindlich gepflegt werden. Andernfalls entstehen informelle Parallelstrukturen.</w:t>
      </w:r>
    </w:p>
    <w:p>
      <w:pPr>
        <w:pStyle w:val="Heading2"/>
      </w:pPr>
      <w:r>
        <w:t>9.5 Metadaten eines Dokuments</w:t>
      </w:r>
    </w:p>
    <w:p>
      <w:r>
        <w:t>Jedes zentrale Dokument im ASF sollte definierte Metadaten besitzen. Metadaten sind Informationen über das Dokument selbst. Sie machen sichtbar, wer das Dokument erstellt hat, welche Version gilt, welchen Status es besitzt, für wen es bestimmt ist und wann es freigegeben wurde. Ohne Metadaten ist ein Dokument schwer steuerbar.</w:t>
      </w:r>
    </w:p>
    <w:p>
      <w:r>
        <w:t>Zu den wichtigsten Metadaten gehören Dokumententitel, Dokumenten-ID, Version, Datum, Status, Eigentümer, fachlicher Verantwortlicher, Freigabeverantwortlicher, Zielgruppe, Vertraulichkeitsstufe und Bezug zu Projektphase oder Quality Gate. Diese Informationen müssen nicht immer aufwendig dargestellt werden. Sie sollten aber bei allen zentralen Deliverables vorhanden sein.</w:t>
      </w:r>
    </w:p>
    <w:p>
      <w:r>
        <w:t>Die Dokumenten-ID hilft, Dokumente eindeutig zu referenzieren. Gerade wenn mehrere Versionen oder Sprachfassungen existieren, ist ein eindeutiger Schlüssel hilfreich. Die Version zeigt den Entwicklungsstand. Der Status beschreibt, ob das Dokument Entwurf, in Abstimmung, freigegeben, ersetzt oder archiviert ist. Der Eigentümer ist für Pflege und Konsistenz verantwortlich. Der Freigabeverantwortliche entscheidet über Verbindlichkeit.</w:t>
      </w:r>
    </w:p>
    <w:p>
      <w:r>
        <w:t>Vertraulichkeitsstufen sind besonders bei Anbieterunterlagen relevant. Nicht jede Information darf an alle Stakeholder oder Anbieter weitergegeben werden. Preisblätter, Bewertungsstände, interne Entscheidungsunterlagen und Vertragspositionen benötigen häufig höhere Vertraulichkeit als allgemeine Projektinformationen. Das Dokumentenmodell muss diese Unterschiede abbilden.</w:t>
      </w:r>
    </w:p>
    <w:p>
      <w:r>
        <w:t>Metadaten unterstützen auch die spätere digitale Umsetzung. Eine Plattform wie adtender kann Dokumente und Datenobjekte nur dann sauber steuern, wenn Status, Version, Eigentümer und Freigabelogik strukturiert vorhanden sind. Das Dokumentenmodell legt damit die Grundlage für spätere Automatisierung.</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6"/>
              </w:rPr>
              <w:t>Metadatum</w:t>
            </w:r>
          </w:p>
        </w:tc>
        <w:tc>
          <w:tcPr>
            <w:tcW w:type="dxa" w:w="3211"/>
            <w:vAlign w:val="center"/>
            <w:shd w:fill="1E375A"/>
          </w:tcPr>
          <w:p>
            <w:r>
              <w:rPr>
                <w:b/>
                <w:color w:val="FFFFFF"/>
                <w:sz w:val="16"/>
              </w:rPr>
              <w:t>Bedeutung</w:t>
            </w:r>
          </w:p>
        </w:tc>
        <w:tc>
          <w:tcPr>
            <w:tcW w:type="dxa" w:w="3211"/>
            <w:vAlign w:val="center"/>
            <w:shd w:fill="1E375A"/>
          </w:tcPr>
          <w:p>
            <w:r>
              <w:rPr>
                <w:b/>
                <w:color w:val="FFFFFF"/>
                <w:sz w:val="16"/>
              </w:rPr>
              <w:t>Beispiel</w:t>
            </w:r>
          </w:p>
        </w:tc>
      </w:tr>
      <w:tr>
        <w:tc>
          <w:tcPr>
            <w:tcW w:type="dxa" w:w="3211"/>
            <w:vAlign w:val="top"/>
          </w:tcPr>
          <w:p>
            <w:r>
              <w:rPr>
                <w:sz w:val="15"/>
              </w:rPr>
              <w:t>Dokumenten-ID</w:t>
            </w:r>
          </w:p>
        </w:tc>
        <w:tc>
          <w:tcPr>
            <w:tcW w:type="dxa" w:w="3211"/>
            <w:vAlign w:val="top"/>
          </w:tcPr>
          <w:p>
            <w:r>
              <w:rPr>
                <w:sz w:val="15"/>
              </w:rPr>
              <w:t>Eindeutige Referenz im Projekt</w:t>
            </w:r>
          </w:p>
        </w:tc>
        <w:tc>
          <w:tcPr>
            <w:tcW w:type="dxa" w:w="3211"/>
            <w:vAlign w:val="top"/>
          </w:tcPr>
          <w:p>
            <w:r>
              <w:rPr>
                <w:sz w:val="15"/>
              </w:rPr>
              <w:t>ASF-K09-REQ-001</w:t>
            </w:r>
          </w:p>
        </w:tc>
      </w:tr>
      <w:tr>
        <w:tc>
          <w:tcPr>
            <w:tcW w:type="dxa" w:w="3211"/>
            <w:vAlign w:val="top"/>
          </w:tcPr>
          <w:p>
            <w:r>
              <w:rPr>
                <w:sz w:val="15"/>
              </w:rPr>
              <w:t>Titel</w:t>
            </w:r>
          </w:p>
        </w:tc>
        <w:tc>
          <w:tcPr>
            <w:tcW w:type="dxa" w:w="3211"/>
            <w:vAlign w:val="top"/>
          </w:tcPr>
          <w:p>
            <w:r>
              <w:rPr>
                <w:sz w:val="15"/>
              </w:rPr>
              <w:t>Verständliche Bezeichnung</w:t>
            </w:r>
          </w:p>
        </w:tc>
        <w:tc>
          <w:tcPr>
            <w:tcW w:type="dxa" w:w="3211"/>
            <w:vAlign w:val="top"/>
          </w:tcPr>
          <w:p>
            <w:r>
              <w:rPr>
                <w:sz w:val="15"/>
              </w:rPr>
              <w:t>Funktionaler Anforderungskatalog</w:t>
            </w:r>
          </w:p>
        </w:tc>
      </w:tr>
      <w:tr>
        <w:tc>
          <w:tcPr>
            <w:tcW w:type="dxa" w:w="3211"/>
            <w:vAlign w:val="top"/>
          </w:tcPr>
          <w:p>
            <w:r>
              <w:rPr>
                <w:sz w:val="15"/>
              </w:rPr>
              <w:t>Version</w:t>
            </w:r>
          </w:p>
        </w:tc>
        <w:tc>
          <w:tcPr>
            <w:tcW w:type="dxa" w:w="3211"/>
            <w:vAlign w:val="top"/>
          </w:tcPr>
          <w:p>
            <w:r>
              <w:rPr>
                <w:sz w:val="15"/>
              </w:rPr>
              <w:t>Entwicklungsstand des Dokuments</w:t>
            </w:r>
          </w:p>
        </w:tc>
        <w:tc>
          <w:tcPr>
            <w:tcW w:type="dxa" w:w="3211"/>
            <w:vAlign w:val="top"/>
          </w:tcPr>
          <w:p>
            <w:r>
              <w:rPr>
                <w:sz w:val="15"/>
              </w:rPr>
              <w:t>v1.0, v1.1, v2.0</w:t>
            </w:r>
          </w:p>
        </w:tc>
      </w:tr>
      <w:tr>
        <w:tc>
          <w:tcPr>
            <w:tcW w:type="dxa" w:w="3211"/>
            <w:vAlign w:val="top"/>
          </w:tcPr>
          <w:p>
            <w:r>
              <w:rPr>
                <w:sz w:val="15"/>
              </w:rPr>
              <w:t>Status</w:t>
            </w:r>
          </w:p>
        </w:tc>
        <w:tc>
          <w:tcPr>
            <w:tcW w:type="dxa" w:w="3211"/>
            <w:vAlign w:val="top"/>
          </w:tcPr>
          <w:p>
            <w:r>
              <w:rPr>
                <w:sz w:val="15"/>
              </w:rPr>
              <w:t>Verbindlichkeit der Fassung</w:t>
            </w:r>
          </w:p>
        </w:tc>
        <w:tc>
          <w:tcPr>
            <w:tcW w:type="dxa" w:w="3211"/>
            <w:vAlign w:val="top"/>
          </w:tcPr>
          <w:p>
            <w:r>
              <w:rPr>
                <w:sz w:val="15"/>
              </w:rPr>
              <w:t>Entwurf, in Abstimmung, freigegeben, ersetzt</w:t>
            </w:r>
          </w:p>
        </w:tc>
      </w:tr>
      <w:tr>
        <w:tc>
          <w:tcPr>
            <w:tcW w:type="dxa" w:w="3211"/>
            <w:vAlign w:val="top"/>
          </w:tcPr>
          <w:p>
            <w:r>
              <w:rPr>
                <w:sz w:val="15"/>
              </w:rPr>
              <w:t>Eigentümer</w:t>
            </w:r>
          </w:p>
        </w:tc>
        <w:tc>
          <w:tcPr>
            <w:tcW w:type="dxa" w:w="3211"/>
            <w:vAlign w:val="top"/>
          </w:tcPr>
          <w:p>
            <w:r>
              <w:rPr>
                <w:sz w:val="15"/>
              </w:rPr>
              <w:t>Verantwortlich für Pflege und Konsistenz</w:t>
            </w:r>
          </w:p>
        </w:tc>
        <w:tc>
          <w:tcPr>
            <w:tcW w:type="dxa" w:w="3211"/>
            <w:vAlign w:val="top"/>
          </w:tcPr>
          <w:p>
            <w:r>
              <w:rPr>
                <w:sz w:val="15"/>
              </w:rPr>
              <w:t>Berater, Projektleitung, Fachlead</w:t>
            </w:r>
          </w:p>
        </w:tc>
      </w:tr>
      <w:tr>
        <w:tc>
          <w:tcPr>
            <w:tcW w:type="dxa" w:w="3211"/>
            <w:vAlign w:val="top"/>
          </w:tcPr>
          <w:p>
            <w:r>
              <w:rPr>
                <w:sz w:val="15"/>
              </w:rPr>
              <w:t>Freigabe durch</w:t>
            </w:r>
          </w:p>
        </w:tc>
        <w:tc>
          <w:tcPr>
            <w:tcW w:type="dxa" w:w="3211"/>
            <w:vAlign w:val="top"/>
          </w:tcPr>
          <w:p>
            <w:r>
              <w:rPr>
                <w:sz w:val="15"/>
              </w:rPr>
              <w:t>Verantwortlich für Verbindlichkeit</w:t>
            </w:r>
          </w:p>
        </w:tc>
        <w:tc>
          <w:tcPr>
            <w:tcW w:type="dxa" w:w="3211"/>
            <w:vAlign w:val="top"/>
          </w:tcPr>
          <w:p>
            <w:r>
              <w:rPr>
                <w:sz w:val="15"/>
              </w:rPr>
              <w:t>Lenkungsausschuss, Fachbereich, IT</w:t>
            </w:r>
          </w:p>
        </w:tc>
      </w:tr>
      <w:tr>
        <w:tc>
          <w:tcPr>
            <w:tcW w:type="dxa" w:w="3211"/>
            <w:vAlign w:val="top"/>
          </w:tcPr>
          <w:p>
            <w:r>
              <w:rPr>
                <w:sz w:val="15"/>
              </w:rPr>
              <w:t>Zielgruppe</w:t>
            </w:r>
          </w:p>
        </w:tc>
        <w:tc>
          <w:tcPr>
            <w:tcW w:type="dxa" w:w="3211"/>
            <w:vAlign w:val="top"/>
          </w:tcPr>
          <w:p>
            <w:r>
              <w:rPr>
                <w:sz w:val="15"/>
              </w:rPr>
              <w:t>Adressaten des Dokuments</w:t>
            </w:r>
          </w:p>
        </w:tc>
        <w:tc>
          <w:tcPr>
            <w:tcW w:type="dxa" w:w="3211"/>
            <w:vAlign w:val="top"/>
          </w:tcPr>
          <w:p>
            <w:r>
              <w:rPr>
                <w:sz w:val="15"/>
              </w:rPr>
              <w:t>Management, Anbieter, Fachteam</w:t>
            </w:r>
          </w:p>
        </w:tc>
      </w:tr>
      <w:tr>
        <w:tc>
          <w:tcPr>
            <w:tcW w:type="dxa" w:w="3211"/>
            <w:vAlign w:val="top"/>
          </w:tcPr>
          <w:p>
            <w:r>
              <w:rPr>
                <w:sz w:val="15"/>
              </w:rPr>
              <w:t>Vertraulichkeit</w:t>
            </w:r>
          </w:p>
        </w:tc>
        <w:tc>
          <w:tcPr>
            <w:tcW w:type="dxa" w:w="3211"/>
            <w:vAlign w:val="top"/>
          </w:tcPr>
          <w:p>
            <w:r>
              <w:rPr>
                <w:sz w:val="15"/>
              </w:rPr>
              <w:t>Zugriffs- und Weitergabebeschränkung</w:t>
            </w:r>
          </w:p>
        </w:tc>
        <w:tc>
          <w:tcPr>
            <w:tcW w:type="dxa" w:w="3211"/>
            <w:vAlign w:val="top"/>
          </w:tcPr>
          <w:p>
            <w:r>
              <w:rPr>
                <w:sz w:val="15"/>
              </w:rPr>
              <w:t>Intern, vertraulich, Anbieterfreigabe</w:t>
            </w:r>
          </w:p>
        </w:tc>
      </w:tr>
      <w:tr>
        <w:tc>
          <w:tcPr>
            <w:tcW w:type="dxa" w:w="3211"/>
            <w:vAlign w:val="top"/>
          </w:tcPr>
          <w:p>
            <w:r>
              <w:rPr>
                <w:sz w:val="15"/>
              </w:rPr>
              <w:t>Quality Gate</w:t>
            </w:r>
          </w:p>
        </w:tc>
        <w:tc>
          <w:tcPr>
            <w:tcW w:type="dxa" w:w="3211"/>
            <w:vAlign w:val="top"/>
          </w:tcPr>
          <w:p>
            <w:r>
              <w:rPr>
                <w:sz w:val="15"/>
              </w:rPr>
              <w:t>Zuordnung zu Freigabepunkt</w:t>
            </w:r>
          </w:p>
        </w:tc>
        <w:tc>
          <w:tcPr>
            <w:tcW w:type="dxa" w:w="3211"/>
            <w:vAlign w:val="top"/>
          </w:tcPr>
          <w:p>
            <w:r>
              <w:rPr>
                <w:sz w:val="15"/>
              </w:rPr>
              <w:t>QG 4 Anforderungskatalog</w:t>
            </w:r>
          </w:p>
        </w:tc>
      </w:tr>
      <w:tr>
        <w:tc>
          <w:tcPr>
            <w:tcW w:type="dxa" w:w="3211"/>
            <w:vAlign w:val="top"/>
          </w:tcPr>
          <w:p>
            <w:r>
              <w:rPr>
                <w:sz w:val="15"/>
              </w:rPr>
              <w:t>Ablageort</w:t>
            </w:r>
          </w:p>
        </w:tc>
        <w:tc>
          <w:tcPr>
            <w:tcW w:type="dxa" w:w="3211"/>
            <w:vAlign w:val="top"/>
          </w:tcPr>
          <w:p>
            <w:r>
              <w:rPr>
                <w:sz w:val="15"/>
              </w:rPr>
              <w:t>Verbindlicher Speicherort</w:t>
            </w:r>
          </w:p>
        </w:tc>
        <w:tc>
          <w:tcPr>
            <w:tcW w:type="dxa" w:w="3211"/>
            <w:vAlign w:val="top"/>
          </w:tcPr>
          <w:p>
            <w:r>
              <w:rPr>
                <w:sz w:val="15"/>
              </w:rPr>
              <w:t>Projekt-SharePoint, DMS, Plattform</w:t>
            </w:r>
          </w:p>
        </w:tc>
      </w:tr>
    </w:tbl>
    <w:p/>
    <w:p>
      <w:pPr>
        <w:pStyle w:val="Heading2"/>
      </w:pPr>
      <w:r>
        <w:t>9.6 Versionierung und Statuslogik</w:t>
      </w:r>
    </w:p>
    <w:p>
      <w:r>
        <w:t>Versionierung ist eines der wichtigsten Elemente des Dokumentenmodells. Auswahlprojekte entwickeln sich weiter. Anforderungen werden geschärft, Leitplanken präzisiert, Anbieterfragen beantwortet und Bewertungsmodelle angepasst. Ohne Versionierung ist später nicht mehr erkennbar, welche Fassung zu welchem Zeitpunkt gültig war.</w:t>
      </w:r>
    </w:p>
    <w:p>
      <w:r>
        <w:t>Das ASF empfiehlt eine einfache, aber konsequente Versionslogik. Entwurfsfassungen können mit 0.x geführt werden. Eine erste freigegebene Fassung erhält die Version 1.0. Kleinere Änderungen nach Freigabe können als 1.1, 1.2 und so weiter gekennzeichnet werden. Wesentliche strukturelle Änderungen oder neue Freigaben können zu 2.0 führen. Wichtig ist nicht die konkrete Nummerierung, sondern deren konsequente Anwendung.</w:t>
      </w:r>
    </w:p>
    <w:p>
      <w:r>
        <w:t>Der Status eines Dokuments ergänzt die Version. Ein Dokument kann beispielsweise Version 0.8 und Status 'in Abstimmung' haben. Es ist dann noch nicht verbindlich. Eine Version 1.0 mit Status 'freigegeben' ist dagegen verbindlich. Eine Version 1.0 mit Status 'ersetzt' darf nicht mehr verwendet werden. Diese Kombination aus Version und Status schafft Klarheit.</w:t>
      </w:r>
    </w:p>
    <w:p>
      <w:r>
        <w:t>Besonders kritisch ist die Versionierung von Ausschreibungsunterlagen. Wenn Anbieter unterschiedliche Versionen eines Lastenheftes oder Preisblattes erhalten, ist die Vergleichbarkeit gefährdet. Jede Änderung nach Versand muss kontrolliert kommuniziert werden. Dabei sollte dokumentiert werden, welche Anbieter welche Version erhalten haben und ob Änderungen Auswirkungen auf Fristen oder Angebote haben.</w:t>
      </w:r>
    </w:p>
    <w:p>
      <w:r>
        <w:t>Auch interne Bewertungsunterlagen benötigen Versionierung. Wenn Bewertungslogik oder Gewichtungen nachträglich verändert werden, muss dies nachvollziehbar sein und freigegeben werden. Andernfalls entsteht der Eindruck, dass Bewertungen an gewünschte Ergebnisse angepasst wurden. Versionierung schützt hier die Integrität des Auswahlprozesses.</w:t>
      </w:r>
    </w:p>
    <w:p>
      <w:pPr>
        <w:pStyle w:val="Heading2"/>
      </w:pPr>
      <w:r>
        <w:t>9.7 Ablagestruktur und Zugriffsmodell</w:t>
      </w:r>
    </w:p>
    <w:p>
      <w:r>
        <w:t>Neben Inhalt und Versionierung benötigt ein Auswahlprojekt eine klare Ablagestruktur. Die beste Dokumentenlogik nützt wenig, wenn Projektbeteiligte Dokumente nicht finden oder unsicher sind, wo gültige Fassungen liegen. Eine klare Ablagestruktur reduziert Suchaufwand, verhindert Parallelablagen und erleichtert die Zusammenarbeit.</w:t>
      </w:r>
    </w:p>
    <w:p>
      <w:r>
        <w:t>Die Ablagestruktur sollte sich an der Projektlogik orientieren. Sinnvoll ist eine Gliederung nach Steuerung, Facharbeit, Anforderungen, Ausschreibung, Anbieter, Bewertung, Vertrag und Übergabe. Innerhalb dieser Bereiche können Unterordner für Entwürfe, freigegebene Fassungen und Archivstände genutzt werden. Wichtig ist, dass freigegebene Dokumente eindeutig getrennt von Arbeitsfassungen liegen.</w:t>
      </w:r>
    </w:p>
    <w:p>
      <w:r>
        <w:t>Zugriffsrechte müssen ebenfalls bewusst gesteuert werden. Nicht alle Projektbeteiligten benötigen Zugriff auf alle Dokumente. Bewertungsmatrizen, interne Preisvergleiche und Vertragsverhandlungsunterlagen sind sensibler als allgemeine Workshopunterlagen. Anbieterunterlagen dürfen nicht versehentlich untereinander sichtbar werden. Datenschutz- oder sicherheitsrelevante Informationen können zusätzliche Einschränkungen erfordern.</w:t>
      </w:r>
    </w:p>
    <w:p>
      <w:r>
        <w:t>Der Berater sollte gemeinsam mit der Projektleitung früh festlegen, welcher Ablageort führend ist. Dies kann ein Dokumentenmanagementsystem, ein Projektraum, SharePoint, Teams, ein Kundenportal oder später eine Plattform sein. Entscheidend ist, dass nicht parallel in mehreren Ablagen gearbeitet wird. Wenn E-Mail-Anhänge als Arbeitsgrundlage dienen, steigt das Risiko veralteter Versionen erheblich.</w:t>
      </w:r>
    </w:p>
    <w:p>
      <w:r>
        <w:t>Ein gutes Zugriffsmodell unterstützt die Governance. Es ermöglicht Zusammenarbeit, schützt vertrauliche Informationen und stellt sicher, dass freigegebene Unterlagen stabil bleiben. Besonders vor Ausschreibungsversand sollte geprüft werden, ob die Ablage und Berechtigungen korrekt gesetzt sind.</w:t>
      </w:r>
    </w:p>
    <w:tbl>
      <w:tblPr>
        <w:tblW w:type="auto" w:w="0"/>
        <w:jc w:val="center"/>
        <w:tblLook w:firstColumn="1" w:firstRow="1" w:lastColumn="0" w:lastRow="0" w:noHBand="0" w:noVBand="1" w:val="04A0"/>
      </w:tblPr>
      <w:tblGrid>
        <w:gridCol w:w="9632"/>
      </w:tblGrid>
      <w:tr>
        <w:tc>
          <w:tcPr>
            <w:tcW w:type="dxa" w:w="9632"/>
            <w:shd w:fill="EEF3F8"/>
            <w:tcBorders>
              <w:top w:val="single" w:sz="8" w:space="0" w:color="9EB6D8"/>
              <w:left w:val="single" w:sz="8" w:space="0" w:color="9EB6D8"/>
              <w:bottom w:val="single" w:sz="8" w:space="0" w:color="9EB6D8"/>
              <w:right w:val="single" w:sz="8" w:space="0" w:color="9EB6D8"/>
            </w:tcBorders>
          </w:tcPr>
          <w:p>
            <w:r>
              <w:rPr>
                <w:b/>
                <w:color w:val="1E375A"/>
                <w:sz w:val="20"/>
              </w:rPr>
              <w:t>Praxishinweis</w:t>
            </w:r>
          </w:p>
          <w:p>
            <w:pPr>
              <w:pStyle w:val="ASFBox"/>
            </w:pPr>
            <w:r>
              <w:t>In vielen Projekten entstehen Dokumentationsprobleme nicht durch fehlende Sorgfalt, sondern durch parallele Arbeitsräume. Ein Fachbereich pflegt Anforderungen in Excel, die IT führt eigene Listen, der Einkauf arbeitet mit separaten Preisblättern und der Berater konsolidiert in einer lokalen Datei. Das Dokumentenmodell muss früh festlegen, welche Arbeitsräume verbindlich sind und wie Konsolidierung erfolgt.</w:t>
            </w:r>
          </w:p>
        </w:tc>
      </w:tr>
    </w:tbl>
    <w:p/>
    <w:p>
      <w:pPr>
        <w:pStyle w:val="Heading2"/>
      </w:pPr>
      <w:r>
        <w:t>9.8 Namenskonventionen und Dokumenten-IDs</w:t>
      </w:r>
    </w:p>
    <w:p>
      <w:r>
        <w:t>Namenskonventionen wirken zunächst banal, sind aber in größeren Projekten sehr hilfreich. Einheitliche Dateinamen ermöglichen Orientierung und reduzieren Missverständnisse. Ein Dateiname sollte erkennen lassen, zu welchem Projekt, welcher Phase, welchem Dokumententyp und welcher Version eine Datei gehört.</w:t>
      </w:r>
    </w:p>
    <w:p>
      <w:r>
        <w:t>Eine mögliche Konvention lautet: Projektkürzel_Dokumenttyp_Thema_Version_Datum. Beispielsweise könnte ein Anforderungskatalog als ASF_REQ_Funktionale_Anforderungen_v1.0_2026-06-28 bezeichnet werden. Für Anbieterunterlagen kann zusätzlich der Anbietername oder eine Anbieter-ID verwendet werden. Entscheidend ist, dass die Konvention einfach genug ist, um tatsächlich genutzt zu werden.</w:t>
      </w:r>
    </w:p>
    <w:p>
      <w:r>
        <w:t>Dokumenten-IDs sind besonders dann sinnvoll, wenn Inhalte in mehreren Dokumenten referenziert werden. Anforderungen benötigen eindeutige IDs, damit Anbieterantworten, Bewertungen, Demo-Szenarien und Vertragsunterlagen auf dieselbe Anforderung verweisen können. Risiken, Entscheidungen und offene Punkte sollten ebenfalls IDs erhalten. Dadurch werden Verweise präzise und maschinenlesbar.</w:t>
      </w:r>
    </w:p>
    <w:p>
      <w:r>
        <w:t>Eine gute ID-Struktur ist stabil. Sie sollte nicht von der Reihenfolge in einer Tabelle abhängen, die sich ständig verändert. Wenn eine Anforderung verschoben wird, sollte ihre ID erhalten bleiben. Andernfalls verlieren Verknüpfungen ihre Aussagekraft. IDs sollten auch nicht zu komplex sein. Eine einfache Struktur wie REQ-F-001 oder CAP-012 ist in der Praxis oft besser als lange kodierte Schlüssel, die niemand versteht.</w:t>
      </w:r>
    </w:p>
    <w:p>
      <w:r>
        <w:t>Namenskonventionen und IDs sind ein Bindeglied zur späteren Plattformlogik. Eine digitale Ausschreibungsplattform benötigt eindeutige Objekte. Anforderungen, Capabilities, Szenarien, Anbieterantworten, Bewertungen und Risiken müssen identifizierbar sein. Das Dokumentenmodell bereitet diese Struktur bereits im Beratungsprozess vor.</w:t>
      </w:r>
    </w:p>
    <w:p>
      <w:pPr>
        <w:pStyle w:val="Heading2"/>
      </w:pPr>
      <w:r>
        <w:t>9.9 Dokumentenstatus entlang der Quality Gates</w:t>
      </w:r>
    </w:p>
    <w:p>
      <w:r>
        <w:t>Dokumente verändern ihren Status entlang der Quality Gates. In frühen Phasen entstehen Entwürfe. Diese werden abgestimmt, konsolidiert und schließlich freigegeben. Das Quality Gate markiert den Übergang von einem Arbeitsstand zu einer verbindlichen Grundlage. Dadurch wird verhindert, dass unfertige Dokumente in spätere Phasen übernommen werden.</w:t>
      </w:r>
    </w:p>
    <w:p>
      <w:r>
        <w:t>Ein Beispiel ist der Anforderungskatalog. Während der Workshopphase befindet er sich im Status Entwurf. Nach fachlicher Konsolidierung wird er in Abstimmung gegeben. Nach Prüfung durch Fachbereiche, IT und Projektleitung wird er als freigegebene Fassung für Lastenheft und Ausschreibung verwendet. Nach Versand an Anbieter darf er nicht mehr informell verändert werden. Änderungen erfolgen dann über ein kontrolliertes Änderungsverfahren.</w:t>
      </w:r>
    </w:p>
    <w:p>
      <w:r>
        <w:t>Dasselbe gilt für die Bewertungsmethodik. Solange sie im Entwurf ist, können Gewichtungen und Skalen diskutiert werden. Nach Freigabe darf sie nicht ohne Governance-Entscheidung angepasst werden. Dies ist wichtig für die Integrität der Anbieterbewertung.</w:t>
      </w:r>
    </w:p>
    <w:p>
      <w:r>
        <w:t>Der Berater sollte Quality Gates daher immer mit konkreten Dokumentenstatus verbinden. Ein Quality Gate ist nicht bestanden, weil ein Workshop stattgefunden hat. Es ist bestanden, wenn die relevanten Deliverables in der erforderlichen Qualität vorliegen und freigegeben wurden. Diese Logik erhöht die Verbindlichkeit des Projektes.</w:t>
      </w:r>
    </w:p>
    <w:p>
      <w:r>
        <w:t>Die Statuslogik sollte in jedem zentralen Dokument sichtbar sein. Auf dem Deckblatt oder in einer Metadatentabelle sollte erkennbar sein, ob es sich um einen Entwurf, eine abgestimmte Fassung oder eine freigegebene Version handelt. Dadurch wird die Dokumentennutzung sicherer.</w:t>
      </w:r>
    </w:p>
    <w:p>
      <w:pPr>
        <w:pStyle w:val="Heading2"/>
      </w:pPr>
      <w:r>
        <w:t>9.10 Dokumentenmodell für Anforderungen</w:t>
      </w:r>
    </w:p>
    <w:p>
      <w:r>
        <w:t>Anforderungen sind die zentralen Informationsobjekte eines Auswahlprojektes. Deshalb benötigen sie ein besonders klares Dokumentenmodell. Eine Anforderung sollte nicht nur als Satz in einer Tabelle stehen, sondern mehrere strukturierte Felder enthalten. Diese Felder machen sie verständlich, priorisierbar, bewertbar und später übergabefähig.</w:t>
      </w:r>
    </w:p>
    <w:p>
      <w:r>
        <w:t>Zu den wichtigsten Feldern gehören Anforderungs-ID, Kategorie, Capability-Zuordnung, Prozessbezug, Titel, Beschreibung, Priorität, Kritikalität, Anforderungstyp, Quelle, Akzeptanzkriterium, Verantwortlicher, Status, Anbieterantwort, Bewertung und Kommentar. Je nach Projekt können weitere Felder ergänzt werden, beispielsweise regulatorischer Bezug, Standortbezug, Release-Relevanz, Customizing-Risiko oder Vertragsrelevanz.</w:t>
      </w:r>
    </w:p>
    <w:p>
      <w:r>
        <w:t>Die Struktur des Anforderungskatalogs sollte früh definiert werden, bevor Anforderungen in großer Menge erhoben werden. Wenn erst später entschieden wird, welche Felder benötigt werden, müssen Anforderungen aufwendig nachbearbeitet werden. Der Berater sollte daher bereits vor den Workshops eine geeignete Anforderungsstruktur vorbereiten.</w:t>
      </w:r>
    </w:p>
    <w:p>
      <w:r>
        <w:t>Besonders wichtig ist die Unterscheidung zwischen funktionalen und nicht-funktionalen Anforderungen. Beide können im selben Katalog oder in getrennten Katalogen geführt werden. Entscheidend ist, dass sie unterschiedlich bewertet werden können. Eine fachliche Anforderung an einen Prozess hat eine andere Bewertungslogik als eine nicht-funktionale Anforderung an Verfügbarkeit oder Authentifizierung.</w:t>
      </w:r>
    </w:p>
    <w:p>
      <w:r>
        <w:t>Anforderungen sollten außerdem einen Status besitzen. Nicht jede im Workshop genannte Anforderung ist sofort gültig. Mögliche Status sind aufgenommen, in Prüfung, abgestimmt, freigegeben, verworfen, zusammengeführt oder ersetzt. Diese Statuslogik hilft, Workshopmaterial von freigegebenen Anforderungen zu trennen.</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6"/>
              </w:rPr>
              <w:t>Feld</w:t>
            </w:r>
          </w:p>
        </w:tc>
        <w:tc>
          <w:tcPr>
            <w:tcW w:type="dxa" w:w="3211"/>
            <w:vAlign w:val="center"/>
            <w:shd w:fill="1E375A"/>
          </w:tcPr>
          <w:p>
            <w:r>
              <w:rPr>
                <w:b/>
                <w:color w:val="FFFFFF"/>
                <w:sz w:val="16"/>
              </w:rPr>
              <w:t>Beschreibung</w:t>
            </w:r>
          </w:p>
        </w:tc>
        <w:tc>
          <w:tcPr>
            <w:tcW w:type="dxa" w:w="3211"/>
            <w:vAlign w:val="center"/>
            <w:shd w:fill="1E375A"/>
          </w:tcPr>
          <w:p>
            <w:r>
              <w:rPr>
                <w:b/>
                <w:color w:val="FFFFFF"/>
                <w:sz w:val="16"/>
              </w:rPr>
              <w:t>Nutzen</w:t>
            </w:r>
          </w:p>
        </w:tc>
      </w:tr>
      <w:tr>
        <w:tc>
          <w:tcPr>
            <w:tcW w:type="dxa" w:w="3211"/>
            <w:vAlign w:val="top"/>
          </w:tcPr>
          <w:p>
            <w:r>
              <w:rPr>
                <w:sz w:val="15"/>
              </w:rPr>
              <w:t>REQ-ID</w:t>
            </w:r>
          </w:p>
        </w:tc>
        <w:tc>
          <w:tcPr>
            <w:tcW w:type="dxa" w:w="3211"/>
            <w:vAlign w:val="top"/>
          </w:tcPr>
          <w:p>
            <w:r>
              <w:rPr>
                <w:sz w:val="15"/>
              </w:rPr>
              <w:t>Eindeutige Kennung der Anforderung</w:t>
            </w:r>
          </w:p>
        </w:tc>
        <w:tc>
          <w:tcPr>
            <w:tcW w:type="dxa" w:w="3211"/>
            <w:vAlign w:val="top"/>
          </w:tcPr>
          <w:p>
            <w:r>
              <w:rPr>
                <w:sz w:val="15"/>
              </w:rPr>
              <w:t>Verknüpfung mit Bewertung, Anbieterantwort und Vertrag</w:t>
            </w:r>
          </w:p>
        </w:tc>
      </w:tr>
      <w:tr>
        <w:tc>
          <w:tcPr>
            <w:tcW w:type="dxa" w:w="3211"/>
            <w:vAlign w:val="top"/>
          </w:tcPr>
          <w:p>
            <w:r>
              <w:rPr>
                <w:sz w:val="15"/>
              </w:rPr>
              <w:t>Kategorie</w:t>
            </w:r>
          </w:p>
        </w:tc>
        <w:tc>
          <w:tcPr>
            <w:tcW w:type="dxa" w:w="3211"/>
            <w:vAlign w:val="top"/>
          </w:tcPr>
          <w:p>
            <w:r>
              <w:rPr>
                <w:sz w:val="15"/>
              </w:rPr>
              <w:t>Thematische Einordnung</w:t>
            </w:r>
          </w:p>
        </w:tc>
        <w:tc>
          <w:tcPr>
            <w:tcW w:type="dxa" w:w="3211"/>
            <w:vAlign w:val="top"/>
          </w:tcPr>
          <w:p>
            <w:r>
              <w:rPr>
                <w:sz w:val="15"/>
              </w:rPr>
              <w:t>Strukturierung des Katalogs</w:t>
            </w:r>
          </w:p>
        </w:tc>
      </w:tr>
      <w:tr>
        <w:tc>
          <w:tcPr>
            <w:tcW w:type="dxa" w:w="3211"/>
            <w:vAlign w:val="top"/>
          </w:tcPr>
          <w:p>
            <w:r>
              <w:rPr>
                <w:sz w:val="15"/>
              </w:rPr>
              <w:t>Capability-Bezug</w:t>
            </w:r>
          </w:p>
        </w:tc>
        <w:tc>
          <w:tcPr>
            <w:tcW w:type="dxa" w:w="3211"/>
            <w:vAlign w:val="top"/>
          </w:tcPr>
          <w:p>
            <w:r>
              <w:rPr>
                <w:sz w:val="15"/>
              </w:rPr>
              <w:t>Zuordnung zur Geschäftsfähigkeit</w:t>
            </w:r>
          </w:p>
        </w:tc>
        <w:tc>
          <w:tcPr>
            <w:tcW w:type="dxa" w:w="3211"/>
            <w:vAlign w:val="top"/>
          </w:tcPr>
          <w:p>
            <w:r>
              <w:rPr>
                <w:sz w:val="15"/>
              </w:rPr>
              <w:t>Traceability zur Strategie</w:t>
            </w:r>
          </w:p>
        </w:tc>
      </w:tr>
      <w:tr>
        <w:tc>
          <w:tcPr>
            <w:tcW w:type="dxa" w:w="3211"/>
            <w:vAlign w:val="top"/>
          </w:tcPr>
          <w:p>
            <w:r>
              <w:rPr>
                <w:sz w:val="15"/>
              </w:rPr>
              <w:t>Prozessbezug</w:t>
            </w:r>
          </w:p>
        </w:tc>
        <w:tc>
          <w:tcPr>
            <w:tcW w:type="dxa" w:w="3211"/>
            <w:vAlign w:val="top"/>
          </w:tcPr>
          <w:p>
            <w:r>
              <w:rPr>
                <w:sz w:val="15"/>
              </w:rPr>
              <w:t>Zuordnung zu Sollprozess oder Szenario</w:t>
            </w:r>
          </w:p>
        </w:tc>
        <w:tc>
          <w:tcPr>
            <w:tcW w:type="dxa" w:w="3211"/>
            <w:vAlign w:val="top"/>
          </w:tcPr>
          <w:p>
            <w:r>
              <w:rPr>
                <w:sz w:val="15"/>
              </w:rPr>
              <w:t>Prüfbarkeit in Demos</w:t>
            </w:r>
          </w:p>
        </w:tc>
      </w:tr>
      <w:tr>
        <w:tc>
          <w:tcPr>
            <w:tcW w:type="dxa" w:w="3211"/>
            <w:vAlign w:val="top"/>
          </w:tcPr>
          <w:p>
            <w:r>
              <w:rPr>
                <w:sz w:val="15"/>
              </w:rPr>
              <w:t>Titel</w:t>
            </w:r>
          </w:p>
        </w:tc>
        <w:tc>
          <w:tcPr>
            <w:tcW w:type="dxa" w:w="3211"/>
            <w:vAlign w:val="top"/>
          </w:tcPr>
          <w:p>
            <w:r>
              <w:rPr>
                <w:sz w:val="15"/>
              </w:rPr>
              <w:t>Kurze Bezeichnung</w:t>
            </w:r>
          </w:p>
        </w:tc>
        <w:tc>
          <w:tcPr>
            <w:tcW w:type="dxa" w:w="3211"/>
            <w:vAlign w:val="top"/>
          </w:tcPr>
          <w:p>
            <w:r>
              <w:rPr>
                <w:sz w:val="15"/>
              </w:rPr>
              <w:t>Schnelle Orientierung</w:t>
            </w:r>
          </w:p>
        </w:tc>
      </w:tr>
      <w:tr>
        <w:tc>
          <w:tcPr>
            <w:tcW w:type="dxa" w:w="3211"/>
            <w:vAlign w:val="top"/>
          </w:tcPr>
          <w:p>
            <w:r>
              <w:rPr>
                <w:sz w:val="15"/>
              </w:rPr>
              <w:t>Beschreibung</w:t>
            </w:r>
          </w:p>
        </w:tc>
        <w:tc>
          <w:tcPr>
            <w:tcW w:type="dxa" w:w="3211"/>
            <w:vAlign w:val="top"/>
          </w:tcPr>
          <w:p>
            <w:r>
              <w:rPr>
                <w:sz w:val="15"/>
              </w:rPr>
              <w:t>Ausformulierte Anforderung</w:t>
            </w:r>
          </w:p>
        </w:tc>
        <w:tc>
          <w:tcPr>
            <w:tcW w:type="dxa" w:w="3211"/>
            <w:vAlign w:val="top"/>
          </w:tcPr>
          <w:p>
            <w:r>
              <w:rPr>
                <w:sz w:val="15"/>
              </w:rPr>
              <w:t>Verständnis für Anbieter und Bewerter</w:t>
            </w:r>
          </w:p>
        </w:tc>
      </w:tr>
      <w:tr>
        <w:tc>
          <w:tcPr>
            <w:tcW w:type="dxa" w:w="3211"/>
            <w:vAlign w:val="top"/>
          </w:tcPr>
          <w:p>
            <w:r>
              <w:rPr>
                <w:sz w:val="15"/>
              </w:rPr>
              <w:t>Priorität</w:t>
            </w:r>
          </w:p>
        </w:tc>
        <w:tc>
          <w:tcPr>
            <w:tcW w:type="dxa" w:w="3211"/>
            <w:vAlign w:val="top"/>
          </w:tcPr>
          <w:p>
            <w:r>
              <w:rPr>
                <w:sz w:val="15"/>
              </w:rPr>
              <w:t>Muss, Soll, Kann oder vergleichbare Logik</w:t>
            </w:r>
          </w:p>
        </w:tc>
        <w:tc>
          <w:tcPr>
            <w:tcW w:type="dxa" w:w="3211"/>
            <w:vAlign w:val="top"/>
          </w:tcPr>
          <w:p>
            <w:r>
              <w:rPr>
                <w:sz w:val="15"/>
              </w:rPr>
              <w:t>Bewertung und Marktfilterung</w:t>
            </w:r>
          </w:p>
        </w:tc>
      </w:tr>
      <w:tr>
        <w:tc>
          <w:tcPr>
            <w:tcW w:type="dxa" w:w="3211"/>
            <w:vAlign w:val="top"/>
          </w:tcPr>
          <w:p>
            <w:r>
              <w:rPr>
                <w:sz w:val="15"/>
              </w:rPr>
              <w:t>Akzeptanzkriterium</w:t>
            </w:r>
          </w:p>
        </w:tc>
        <w:tc>
          <w:tcPr>
            <w:tcW w:type="dxa" w:w="3211"/>
            <w:vAlign w:val="top"/>
          </w:tcPr>
          <w:p>
            <w:r>
              <w:rPr>
                <w:sz w:val="15"/>
              </w:rPr>
              <w:t>Prüfmaßstab der Erfüllung</w:t>
            </w:r>
          </w:p>
        </w:tc>
        <w:tc>
          <w:tcPr>
            <w:tcW w:type="dxa" w:w="3211"/>
            <w:vAlign w:val="top"/>
          </w:tcPr>
          <w:p>
            <w:r>
              <w:rPr>
                <w:sz w:val="15"/>
              </w:rPr>
              <w:t>Nachweisbarkeit</w:t>
            </w:r>
          </w:p>
        </w:tc>
      </w:tr>
      <w:tr>
        <w:tc>
          <w:tcPr>
            <w:tcW w:type="dxa" w:w="3211"/>
            <w:vAlign w:val="top"/>
          </w:tcPr>
          <w:p>
            <w:r>
              <w:rPr>
                <w:sz w:val="15"/>
              </w:rPr>
              <w:t>Quelle</w:t>
            </w:r>
          </w:p>
        </w:tc>
        <w:tc>
          <w:tcPr>
            <w:tcW w:type="dxa" w:w="3211"/>
            <w:vAlign w:val="top"/>
          </w:tcPr>
          <w:p>
            <w:r>
              <w:rPr>
                <w:sz w:val="15"/>
              </w:rPr>
              <w:t>Workshop, Dokument, Stakeholder oder Leitplanke</w:t>
            </w:r>
          </w:p>
        </w:tc>
        <w:tc>
          <w:tcPr>
            <w:tcW w:type="dxa" w:w="3211"/>
            <w:vAlign w:val="top"/>
          </w:tcPr>
          <w:p>
            <w:r>
              <w:rPr>
                <w:sz w:val="15"/>
              </w:rPr>
              <w:t>Nachvollziehbarkeit</w:t>
            </w:r>
          </w:p>
        </w:tc>
      </w:tr>
      <w:tr>
        <w:tc>
          <w:tcPr>
            <w:tcW w:type="dxa" w:w="3211"/>
            <w:vAlign w:val="top"/>
          </w:tcPr>
          <w:p>
            <w:r>
              <w:rPr>
                <w:sz w:val="15"/>
              </w:rPr>
              <w:t>Status</w:t>
            </w:r>
          </w:p>
        </w:tc>
        <w:tc>
          <w:tcPr>
            <w:tcW w:type="dxa" w:w="3211"/>
            <w:vAlign w:val="top"/>
          </w:tcPr>
          <w:p>
            <w:r>
              <w:rPr>
                <w:sz w:val="15"/>
              </w:rPr>
              <w:t>Bearbeitungs- und Freigabestand</w:t>
            </w:r>
          </w:p>
        </w:tc>
        <w:tc>
          <w:tcPr>
            <w:tcW w:type="dxa" w:w="3211"/>
            <w:vAlign w:val="top"/>
          </w:tcPr>
          <w:p>
            <w:r>
              <w:rPr>
                <w:sz w:val="15"/>
              </w:rPr>
              <w:t>Governance und Qualitätssicherung</w:t>
            </w:r>
          </w:p>
        </w:tc>
      </w:tr>
    </w:tbl>
    <w:p/>
    <w:p>
      <w:pPr>
        <w:pStyle w:val="Heading2"/>
      </w:pPr>
      <w:r>
        <w:t>9.11 Dokumentenmodell für Anbieterinformationen</w:t>
      </w:r>
    </w:p>
    <w:p>
      <w:r>
        <w:t>Anbieterinformationen müssen besonders sorgfältig strukturiert werden, weil sie die Grundlage für Vergleich und Entscheidung bilden. Unterschiedliche Anbieter liefern Informationen in unterschiedlicher Qualität, Sprache und Detailtiefe. Ohne ein klares Dokumentenmodell wird die Auswertung schwierig und anfällig für subjektive Eindrücke.</w:t>
      </w:r>
    </w:p>
    <w:p>
      <w:r>
        <w:t>Das ASF empfiehlt, Anbieterinformationen in mehreren Ebenen zu strukturieren. Die erste Ebene beschreibt Anbieterprofil und Lösung: Unternehmensdaten, Produktname, Zielmärkte, Referenzen, Implementierungspartner, Supportmodell und Roadmap. Die zweite Ebene umfasst Antworten auf Anforderungen. Die dritte Ebene umfasst kommerzielle Informationen wie Lizenzmodell, Implementierungskosten, Wartung, Subscription, Betriebskosten und optionale Leistungen. Die vierte Ebene umfasst Nachweise aus Präsentationen, Demos, Referenzen oder PoC.</w:t>
      </w:r>
    </w:p>
    <w:p>
      <w:r>
        <w:t>Wichtig ist, dass Anbieterantworten auf Anforderungen standardisiert erfolgen. Anbieter sollten nicht ausschließlich Freitext liefern, sondern strukturierte Antwortoptionen verwenden, beispielsweise erfüllt im Standard, erfüllt durch Konfiguration, erfüllt durch Customizing, erfüllt durch Drittprodukt, nicht erfüllt oder Klärung erforderlich. Diese Struktur erleichtert Auswertung und Risikoerkennung.</w:t>
      </w:r>
    </w:p>
    <w:p>
      <w:r>
        <w:t>Gleichzeitig darf das Antwortmodell nicht zu mechanisch sein. Anbieter müssen erläutern können, wie eine Anforderung erfüllt wird. Gerade bei komplexen Anforderungen ist die qualitative Beschreibung wichtig. Das Dokumentenmodell sollte daher strukturierte Antwortfelder und erläuternde Freitextfelder kombinieren.</w:t>
      </w:r>
    </w:p>
    <w:p>
      <w:r>
        <w:t>Anbieterinformationen unterliegen besonderer Vertraulichkeit. Interne Bewertungen, Preisvergleiche und Verhandlungspositionen dürfen nicht versehentlich geteilt werden. Deshalb muss das Dokumentenmodell zwischen anbieterseitigen Unterlagen, internen Auswertungen und freigegebenen Kommunikationsdokumenten unterscheiden.</w:t>
      </w:r>
    </w:p>
    <w:p>
      <w:pPr>
        <w:pStyle w:val="Heading2"/>
      </w:pPr>
      <w:r>
        <w:t>9.12 Dokumentenmodell für Bewertungen</w:t>
      </w:r>
    </w:p>
    <w:p>
      <w:r>
        <w:t>Bewertungen sind besonders sensibel, weil sie unmittelbar auf die Anbieterentscheidung einzahlen. Das Dokumentenmodell für Bewertungen muss daher methodische Transparenz und Vertraulichkeit zugleich sicherstellen. Es muss erkennbar sein, wer bewertet hat, nach welchen Kriterien bewertet wurde, welche Skala verwendet wurde, welche Kommentare vorliegen und wie Einzelbewertungen konsolidiert wurden.</w:t>
      </w:r>
    </w:p>
    <w:p>
      <w:r>
        <w:t>Eine Bewertungsmatrix sollte nicht nur Punkte enthalten. Punkte ohne Begründung sind wenig belastbar. Besonders bei hohen oder niedrigen Bewertungen sollten Kommentare verpflichtend sein. Wenn ein Anbieter eine Anforderung nicht erfüllt, muss dokumentiert werden, ob dies kritisch ist, ob ein Workaround möglich ist oder ob vertragliche Klärung erforderlich wird. Wenn ein Anbieter sehr gut bewertet wird, sollte nachvollziehbar sein, worauf diese Bewertung beruht.</w:t>
      </w:r>
    </w:p>
    <w:p>
      <w:r>
        <w:t>Das Dokumentenmodell sollte außerdem zwischen Einzelbewertung und Konsolidierung unterscheiden. Einzelbewertungen stammen von Fachbereichen, IT, Einkauf oder weiteren Rollen. Die konsolidierte Bewertung führt diese Perspektiven zusammen. Dabei können Abweichungen auftreten. Solche Abweichungen sind wertvoll, weil sie unterschiedliche Sichtweisen sichtbar machen. Sie sollten nicht automatisch geglättet werden, sondern geprüft und gegebenenfalls diskutiert werden.</w:t>
      </w:r>
    </w:p>
    <w:p>
      <w:r>
        <w:t>Für Managemententscheidungen wird die Bewertungsmatrix verdichtet. Das Management benötigt keine vollständige Anforderungstabelle mit hunderten Zeilen, sondern eine strukturierte Sicht auf Stärken, Schwächen, Risiken, Kosten, strategische Passung und Empfehlung. Das Dokumentenmodell muss daher die Verbindung zwischen Detailbewertung und Entscheidungsvorlage ermöglichen.</w:t>
      </w:r>
    </w:p>
    <w:p>
      <w:pPr>
        <w:pStyle w:val="Heading2"/>
      </w:pPr>
      <w:r>
        <w:t>9.13 Dokumentenmodell für Entscheidungen und Risiken</w:t>
      </w:r>
    </w:p>
    <w:p>
      <w:r>
        <w:t>Entscheidungen und Risiken benötigen eigene Dokumentationslogik. Sie dürfen nicht in Protokollen verschwinden. Ein Entscheidungsregister dokumentiert wesentliche Entscheidungen mit Datum, Entscheidungsinhalt, Entscheidungsverantwortlichem, Grundlage, Alternativen, Begründung und Auswirkungen. Dadurch bleibt nachvollziehbar, wie das Projekt gesteuert wurde.</w:t>
      </w:r>
    </w:p>
    <w:p>
      <w:r>
        <w:t>Ein Risikoregister dokumentiert Risiken, Ursachen, Auswirkungen, Bewertung, Maßnahmen, Verantwortliche und Status. In Softwareauswahlprojekten sind Risiken oft nicht rein technisch. Sie können fachlich, organisatorisch, wirtschaftlich, vertraglich, regulatorisch oder anbieterbezogen sein. Ein gutes Risikoregister macht diese Vielfalt sichtbar.</w:t>
      </w:r>
    </w:p>
    <w:p>
      <w:r>
        <w:t>Entscheidungen und Risiken hängen eng zusammen. Manche Entscheidungen bestehen darin, ein Risiko bewusst zu akzeptieren. Beispielsweise kann ein Anbieter fachlich stark sein, aber ein Integrationsrisiko aufweisen. Wenn das Management diesen Anbieter trotzdem auswählt, muss dokumentiert sein, welches Risiko akzeptiert wurde und welche Maßnahmen vorgesehen sind.</w:t>
      </w:r>
    </w:p>
    <w:p>
      <w:r>
        <w:t>Der Berater sollte Entscheidungen und Risiken regelmäßig in Quality Gates einbringen. Dadurch werden sie nicht nur gesammelt, sondern aktiv gesteuert. Besonders vor Shortlist, Anbieterentscheidung und Vertragsunterzeichnung ist eine aktuelle Risiko- und Entscheidungsübersicht unverzichtbar.</w:t>
      </w:r>
    </w:p>
    <w:p>
      <w:pPr>
        <w:pStyle w:val="Heading2"/>
      </w:pPr>
      <w:r>
        <w:t>9.14 Dokumentenmodell für Ausschreibung und Kommunikation</w:t>
      </w:r>
    </w:p>
    <w:p>
      <w:r>
        <w:t>Ausschreibungs- und Kommunikationsdokumente benötigen eine besonders strenge Steuerung, weil sie externe Wirkung entfalten. Alles, was an Anbieter versendet wird, kann Erwartungen, Angebote und spätere Vertragspositionen beeinflussen. Deshalb müssen diese Dokumente vor Versand freigegeben, versioniert und vollständig sein.</w:t>
      </w:r>
    </w:p>
    <w:p>
      <w:r>
        <w:t>Zu den zentralen Ausschreibungsdokumenten gehören Anschreiben, RFI oder RFP, Lastenheft, Anforderungskatalog, Preisblatt, Antworttemplate, Terminplan, Kommunikationsregeln, Vertraulichkeitsanforderungen und gegebenenfalls Vertragsmuster. Diese Dokumente müssen konsistent sein. Wenn das Lastenheft eine Anforderung enthält, die im Antworttemplate fehlt, entsteht Auswertungsaufwand. Wenn das Preisblatt Kostenpositionen nicht sauber vorgibt, werden Angebote schwer vergleichbar.</w:t>
      </w:r>
    </w:p>
    <w:p>
      <w:r>
        <w:t>Das Fragen-Antworten-Log ist ein zentrales Kommunikationsdokument. Es dokumentiert Anbieterfragen, interne Klärung, freigegebene Antwort, Datum, betroffene Dokumente und gegebenenfalls Versionseffekte. Das Log schützt Fairness und Vergleichbarkeit. Bei relevanten Klarstellungen sollte geprüft werden, ob alle Anbieter informiert werden müssen.</w:t>
      </w:r>
    </w:p>
    <w:p>
      <w:r>
        <w:t>Auch Präsentationsunterlagen und Demo-Skripte sind Kommunikationsdokumente. Sie müssen rechtzeitig an Anbieter gegeben werden, damit diese sich vorbereiten können. Gleichzeitig müssen sie klar genug sein, um die gewünschte Vergleichbarkeit zu erzeugen. Das Dokumentenmodell hilft, diese Unterlagen strukturiert zu erstellen und freizugeben.</w:t>
      </w:r>
    </w:p>
    <w:p>
      <w:pPr>
        <w:pStyle w:val="Heading2"/>
      </w:pPr>
      <w:r>
        <w:t>9.15 Dokumentenmodell und digitale Plattformlogik</w:t>
      </w:r>
    </w:p>
    <w:p>
      <w:r>
        <w:t>Ein besonderes Merkmal des ASF besteht darin, dass das Dokumentenmodell nicht nur für klassische Beratungsprojekte, sondern auch für eine digitale Plattformlogik geeignet ist. Viele Dokumente lassen sich in strukturierte Datenobjekte übersetzen. Eine Capability wird zum Objekt. Eine Anforderung wird zum Objekt. Ein Anbieter wird zum Objekt. Eine Anbieterantwort, Bewertung, Entscheidung, Frage oder ein Risiko wird ebenfalls zum Objekt.</w:t>
      </w:r>
    </w:p>
    <w:p>
      <w:r>
        <w:t>Diese Objektlogik ist für eine Plattform wie adtender zentral. Sie ermöglicht Wiederverwendbarkeit, Filterung, Auswertung, Versionierung, Berechtigungen und automatisierte Berichte. Wenn Anforderungen nur als Fließtext in Word existieren, sind sie schwer auswertbar. Wenn sie dagegen strukturierte Felder besitzen, können sie bewertet, exportiert, mit Anbieterantworten verknüpft und in Dashboards dargestellt werden.</w:t>
      </w:r>
    </w:p>
    <w:p>
      <w:r>
        <w:t>Das Dokumentenmodell bildet damit eine Brücke zwischen Beratungsarbeit und Softwareprodukt. Es stellt sicher, dass die Methodik nicht nur als Handbuch existiert, sondern später digital unterstützt werden kann. Jedes Template in Teil C des Handbuchs sollte daher so gedacht werden, dass es sowohl als Office-Dokument als auch als Plattformformular oder Datenmodell funktionieren kann.</w:t>
      </w:r>
    </w:p>
    <w:p>
      <w:r>
        <w:t>Für den Berater bedeutet dies, dass er bereits in klassischen Projekten strukturiert arbeiten sollte. Auch wenn ein Projekt zunächst mit Word, Excel und PowerPoint durchgeführt wird, sollten die Daten so gepflegt werden, dass sie später migrierbar oder automatisierbar sind. Klare IDs, Metadaten, Statusfelder und Verknüpfungen sind dafür unverzichtbar.</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6"/>
              </w:rPr>
              <w:t>Dokument / Inhalt</w:t>
            </w:r>
          </w:p>
        </w:tc>
        <w:tc>
          <w:tcPr>
            <w:tcW w:type="dxa" w:w="3211"/>
            <w:vAlign w:val="center"/>
            <w:shd w:fill="1E375A"/>
          </w:tcPr>
          <w:p>
            <w:r>
              <w:rPr>
                <w:b/>
                <w:color w:val="FFFFFF"/>
                <w:sz w:val="16"/>
              </w:rPr>
              <w:t>Plattformobjekt</w:t>
            </w:r>
          </w:p>
        </w:tc>
        <w:tc>
          <w:tcPr>
            <w:tcW w:type="dxa" w:w="3211"/>
            <w:vAlign w:val="center"/>
            <w:shd w:fill="1E375A"/>
          </w:tcPr>
          <w:p>
            <w:r>
              <w:rPr>
                <w:b/>
                <w:color w:val="FFFFFF"/>
                <w:sz w:val="16"/>
              </w:rPr>
              <w:t>Typische Datenfelder</w:t>
            </w:r>
          </w:p>
        </w:tc>
      </w:tr>
      <w:tr>
        <w:tc>
          <w:tcPr>
            <w:tcW w:type="dxa" w:w="3211"/>
            <w:vAlign w:val="top"/>
          </w:tcPr>
          <w:p>
            <w:r>
              <w:rPr>
                <w:sz w:val="15"/>
              </w:rPr>
              <w:t>Capability Map</w:t>
            </w:r>
          </w:p>
        </w:tc>
        <w:tc>
          <w:tcPr>
            <w:tcW w:type="dxa" w:w="3211"/>
            <w:vAlign w:val="top"/>
          </w:tcPr>
          <w:p>
            <w:r>
              <w:rPr>
                <w:sz w:val="15"/>
              </w:rPr>
              <w:t>Capability</w:t>
            </w:r>
          </w:p>
        </w:tc>
        <w:tc>
          <w:tcPr>
            <w:tcW w:type="dxa" w:w="3211"/>
            <w:vAlign w:val="top"/>
          </w:tcPr>
          <w:p>
            <w:r>
              <w:rPr>
                <w:sz w:val="15"/>
              </w:rPr>
              <w:t>ID, Name, Beschreibung, Priorität, Reifegrad, Verantwortlicher</w:t>
            </w:r>
          </w:p>
        </w:tc>
      </w:tr>
      <w:tr>
        <w:tc>
          <w:tcPr>
            <w:tcW w:type="dxa" w:w="3211"/>
            <w:vAlign w:val="top"/>
          </w:tcPr>
          <w:p>
            <w:r>
              <w:rPr>
                <w:sz w:val="15"/>
              </w:rPr>
              <w:t>Anforderungskatalog</w:t>
            </w:r>
          </w:p>
        </w:tc>
        <w:tc>
          <w:tcPr>
            <w:tcW w:type="dxa" w:w="3211"/>
            <w:vAlign w:val="top"/>
          </w:tcPr>
          <w:p>
            <w:r>
              <w:rPr>
                <w:sz w:val="15"/>
              </w:rPr>
              <w:t>Requirement</w:t>
            </w:r>
          </w:p>
        </w:tc>
        <w:tc>
          <w:tcPr>
            <w:tcW w:type="dxa" w:w="3211"/>
            <w:vAlign w:val="top"/>
          </w:tcPr>
          <w:p>
            <w:r>
              <w:rPr>
                <w:sz w:val="15"/>
              </w:rPr>
              <w:t>ID, Kategorie, Beschreibung, Priorität, Status, Akzeptanzkriterium</w:t>
            </w:r>
          </w:p>
        </w:tc>
      </w:tr>
      <w:tr>
        <w:tc>
          <w:tcPr>
            <w:tcW w:type="dxa" w:w="3211"/>
            <w:vAlign w:val="top"/>
          </w:tcPr>
          <w:p>
            <w:r>
              <w:rPr>
                <w:sz w:val="15"/>
              </w:rPr>
              <w:t>Anbieterprofil</w:t>
            </w:r>
          </w:p>
        </w:tc>
        <w:tc>
          <w:tcPr>
            <w:tcW w:type="dxa" w:w="3211"/>
            <w:vAlign w:val="top"/>
          </w:tcPr>
          <w:p>
            <w:r>
              <w:rPr>
                <w:sz w:val="15"/>
              </w:rPr>
              <w:t>Vendor</w:t>
            </w:r>
          </w:p>
        </w:tc>
        <w:tc>
          <w:tcPr>
            <w:tcW w:type="dxa" w:w="3211"/>
            <w:vAlign w:val="top"/>
          </w:tcPr>
          <w:p>
            <w:r>
              <w:rPr>
                <w:sz w:val="15"/>
              </w:rPr>
              <w:t>Name, Lösung, Referenzen, Kontakt, Marktsegment, Status</w:t>
            </w:r>
          </w:p>
        </w:tc>
      </w:tr>
      <w:tr>
        <w:tc>
          <w:tcPr>
            <w:tcW w:type="dxa" w:w="3211"/>
            <w:vAlign w:val="top"/>
          </w:tcPr>
          <w:p>
            <w:r>
              <w:rPr>
                <w:sz w:val="15"/>
              </w:rPr>
              <w:t>Anbieterantwort</w:t>
            </w:r>
          </w:p>
        </w:tc>
        <w:tc>
          <w:tcPr>
            <w:tcW w:type="dxa" w:w="3211"/>
            <w:vAlign w:val="top"/>
          </w:tcPr>
          <w:p>
            <w:r>
              <w:rPr>
                <w:sz w:val="15"/>
              </w:rPr>
              <w:t>Vendor Response</w:t>
            </w:r>
          </w:p>
        </w:tc>
        <w:tc>
          <w:tcPr>
            <w:tcW w:type="dxa" w:w="3211"/>
            <w:vAlign w:val="top"/>
          </w:tcPr>
          <w:p>
            <w:r>
              <w:rPr>
                <w:sz w:val="15"/>
              </w:rPr>
              <w:t>Anbieter-ID, REQ-ID, Erfüllungsgrad, Kommentar, Nachweis</w:t>
            </w:r>
          </w:p>
        </w:tc>
      </w:tr>
      <w:tr>
        <w:tc>
          <w:tcPr>
            <w:tcW w:type="dxa" w:w="3211"/>
            <w:vAlign w:val="top"/>
          </w:tcPr>
          <w:p>
            <w:r>
              <w:rPr>
                <w:sz w:val="15"/>
              </w:rPr>
              <w:t>Bewertungsmatrix</w:t>
            </w:r>
          </w:p>
        </w:tc>
        <w:tc>
          <w:tcPr>
            <w:tcW w:type="dxa" w:w="3211"/>
            <w:vAlign w:val="top"/>
          </w:tcPr>
          <w:p>
            <w:r>
              <w:rPr>
                <w:sz w:val="15"/>
              </w:rPr>
              <w:t>Evaluation</w:t>
            </w:r>
          </w:p>
        </w:tc>
        <w:tc>
          <w:tcPr>
            <w:tcW w:type="dxa" w:w="3211"/>
            <w:vAlign w:val="top"/>
          </w:tcPr>
          <w:p>
            <w:r>
              <w:rPr>
                <w:sz w:val="15"/>
              </w:rPr>
              <w:t>Kriterium, Gewichtung, Punktzahl, Kommentar, Bewerter</w:t>
            </w:r>
          </w:p>
        </w:tc>
      </w:tr>
      <w:tr>
        <w:tc>
          <w:tcPr>
            <w:tcW w:type="dxa" w:w="3211"/>
            <w:vAlign w:val="top"/>
          </w:tcPr>
          <w:p>
            <w:r>
              <w:rPr>
                <w:sz w:val="15"/>
              </w:rPr>
              <w:t>Demo-Szenario</w:t>
            </w:r>
          </w:p>
        </w:tc>
        <w:tc>
          <w:tcPr>
            <w:tcW w:type="dxa" w:w="3211"/>
            <w:vAlign w:val="top"/>
          </w:tcPr>
          <w:p>
            <w:r>
              <w:rPr>
                <w:sz w:val="15"/>
              </w:rPr>
              <w:t>Scenario</w:t>
            </w:r>
          </w:p>
        </w:tc>
        <w:tc>
          <w:tcPr>
            <w:tcW w:type="dxa" w:w="3211"/>
            <w:vAlign w:val="top"/>
          </w:tcPr>
          <w:p>
            <w:r>
              <w:rPr>
                <w:sz w:val="15"/>
              </w:rPr>
              <w:t>ID, Prozessbezug, Schritte, erwarteter Nachweis, Bewertung</w:t>
            </w:r>
          </w:p>
        </w:tc>
      </w:tr>
      <w:tr>
        <w:tc>
          <w:tcPr>
            <w:tcW w:type="dxa" w:w="3211"/>
            <w:vAlign w:val="top"/>
          </w:tcPr>
          <w:p>
            <w:r>
              <w:rPr>
                <w:sz w:val="15"/>
              </w:rPr>
              <w:t>Risiko</w:t>
            </w:r>
          </w:p>
        </w:tc>
        <w:tc>
          <w:tcPr>
            <w:tcW w:type="dxa" w:w="3211"/>
            <w:vAlign w:val="top"/>
          </w:tcPr>
          <w:p>
            <w:r>
              <w:rPr>
                <w:sz w:val="15"/>
              </w:rPr>
              <w:t>Risk</w:t>
            </w:r>
          </w:p>
        </w:tc>
        <w:tc>
          <w:tcPr>
            <w:tcW w:type="dxa" w:w="3211"/>
            <w:vAlign w:val="top"/>
          </w:tcPr>
          <w:p>
            <w:r>
              <w:rPr>
                <w:sz w:val="15"/>
              </w:rPr>
              <w:t>Beschreibung, Kategorie, Auswirkung, Wahrscheinlichkeit, Maßnahme, Owner</w:t>
            </w:r>
          </w:p>
        </w:tc>
      </w:tr>
      <w:tr>
        <w:tc>
          <w:tcPr>
            <w:tcW w:type="dxa" w:w="3211"/>
            <w:vAlign w:val="top"/>
          </w:tcPr>
          <w:p>
            <w:r>
              <w:rPr>
                <w:sz w:val="15"/>
              </w:rPr>
              <w:t>Entscheidung</w:t>
            </w:r>
          </w:p>
        </w:tc>
        <w:tc>
          <w:tcPr>
            <w:tcW w:type="dxa" w:w="3211"/>
            <w:vAlign w:val="top"/>
          </w:tcPr>
          <w:p>
            <w:r>
              <w:rPr>
                <w:sz w:val="15"/>
              </w:rPr>
              <w:t>Decision</w:t>
            </w:r>
          </w:p>
        </w:tc>
        <w:tc>
          <w:tcPr>
            <w:tcW w:type="dxa" w:w="3211"/>
            <w:vAlign w:val="top"/>
          </w:tcPr>
          <w:p>
            <w:r>
              <w:rPr>
                <w:sz w:val="15"/>
              </w:rPr>
              <w:t>Inhalt, Datum, Gremium, Grundlage, Begründung, Auswirkungen</w:t>
            </w:r>
          </w:p>
        </w:tc>
      </w:tr>
    </w:tbl>
    <w:p/>
    <w:p>
      <w:pPr>
        <w:pStyle w:val="Heading2"/>
      </w:pPr>
      <w:r>
        <w:t>9.16 Aufbewahrung, Archivierung und Übergabe</w:t>
      </w:r>
    </w:p>
    <w:p>
      <w:r>
        <w:t>Am Ende eines Auswahlprojektes müssen Dokumente nicht nur abgelegt, sondern geordnet übergeben werden. Die Implementierung benötigt andere Informationen als der Lenkungsausschuss während der Auswahl. Deshalb muss das Dokumentenmodell auch die Übergabefähigkeit regeln.</w:t>
      </w:r>
    </w:p>
    <w:p>
      <w:r>
        <w:t>Das Übergabepaket sollte freigegebene Kernunterlagen enthalten: Projektauftrag, Zielbild, Capability Map, Sollprozesse, funktionale und nicht-funktionale Anforderungen, Bewertungsmethodik, Anbieterbewertung, Entscheidungsvorlage, Vertragsgrundlagen, offene Punkte, Risiken und vereinbarte nächste Schritte. Arbeitsversionen, alte Entwürfe und interne Zwischenstände müssen nicht zwingend Teil der Übergabe sein, sollten aber archiviert bleiben, wenn sie für Nachvollziehbarkeit relevant sind.</w:t>
      </w:r>
    </w:p>
    <w:p>
      <w:r>
        <w:t>Archivierung bedeutet, dass Projektergebnisse später auffindbar und interpretierbar bleiben. Dazu gehören finaler Status, Version, Datum, Verantwortliche und gegebenenfalls Lessons Learned. Gerade wenn ein Unternehmen ähnliche Auswahlprojekte wiederholt, sind archivierte Ergebnisse wertvoll. Sie können als Referenz, Template oder Erfahrungsbasis dienen.</w:t>
      </w:r>
    </w:p>
    <w:p>
      <w:r>
        <w:t>Für den Berater ist die Abschlussdokumentation ein Qualitätsmerkmal. Ein Projekt endet nicht mit der letzten Präsentation. Es endet, wenn die relevanten Unterlagen geordnet, freigegeben und übergeben sind. Dadurch wird das Auswahlprojekt nachhaltig nutzbar.</w:t>
      </w:r>
    </w:p>
    <w:p>
      <w:pPr>
        <w:pStyle w:val="Heading2"/>
      </w:pPr>
      <w:r>
        <w:t>9.17 Typische Fehler im Dokumentenmodell</w:t>
      </w:r>
    </w:p>
    <w:p>
      <w:r>
        <w:t>Ein häufiger Fehler besteht darin, Dokumente erst dann zu strukturieren, wenn bereits viele Inhalte entstanden sind. Dann müssen Anforderungen, Risiken oder Entscheidungen nachträglich sortiert werden. Besser ist es, Dokumentenstruktur und Templates vor Beginn der intensiven Facharbeit festzulegen.</w:t>
      </w:r>
    </w:p>
    <w:p>
      <w:r>
        <w:t>Ein zweiter Fehler ist die parallele Pflege derselben Information in mehreren Dokumenten. Dies führt fast zwangsläufig zu Widersprüchen. Das Dokumentenmodell muss deshalb führende Quellen definieren.</w:t>
      </w:r>
    </w:p>
    <w:p>
      <w:r>
        <w:t>Ein dritter Fehler ist fehlende Versionierung. Besonders in Ausschreibungsphasen kann dies kritisch werden. Anbieter müssen wissen, welche Fassung gilt. Interne Teams müssen nachvollziehen können, welche Änderungen vorgenommen wurden.</w:t>
      </w:r>
    </w:p>
    <w:p>
      <w:r>
        <w:t>Ein vierter Fehler besteht darin, Dokumente ohne Zielgruppenlogik zu erstellen. Managementunterlagen sind zu detailliert, Arbeitsunterlagen zu oberflächlich oder Anbieterunterlagen zu unklar. Der Berater muss Format und Detailtiefe an die Zielgruppe anpassen.</w:t>
      </w:r>
    </w:p>
    <w:p>
      <w:r>
        <w:t>Ein fünfter Fehler ist fehlende Übergabefähigkeit. Ergebnisse werden während der Auswahl genutzt, aber nicht so aufbereitet, dass die Implementierung damit arbeiten kann. Dadurch geht Wissen verloren und Diskussionen beginnen erneut.</w:t>
      </w:r>
    </w:p>
    <w:p>
      <w:pPr>
        <w:pStyle w:val="Heading2"/>
      </w:pPr>
      <w:r>
        <w:t>9.18 Best Practices für das Dokumentenmodell</w:t>
      </w:r>
    </w:p>
    <w:p>
      <w:r>
        <w:t>Eine bewährte Praxis besteht darin, zu Beginn eine Dokumentenlandkarte zu erstellen. Sie zeigt alle zentralen Dokumente, ihre Eigentümer, Statuslogik, Ablageorte und Quality-Gate-Bezüge. Diese Landkarte schafft Orientierung für Projektteam und Stakeholder.</w:t>
      </w:r>
    </w:p>
    <w:p>
      <w:r>
        <w:t>Eine zweite Best Practice ist die Arbeit mit Templates. Einheitliche Templates reduzieren Aufwand, sichern Qualität und erleichtern Vergleichbarkeit. Teil C des Handbuchs wird daher zentrale Templates bereitstellen.</w:t>
      </w:r>
    </w:p>
    <w:p>
      <w:r>
        <w:t>Eine dritte Best Practice besteht darin, jedes Dokument mit einer kurzen Zweckbeschreibung zu beginnen. Diese erklärt, wofür das Dokument genutzt wird und was es nicht leisten soll. Dadurch werden Erwartungen gesteuert.</w:t>
      </w:r>
    </w:p>
    <w:p>
      <w:r>
        <w:t>Eine vierte Best Practice ist die konsequente Verwendung eindeutiger IDs. Anforderungen, Risiken, Entscheidungen, Anbieterfragen und Szenarien sollten referenzierbar sein. Dies erleichtert Traceability und spätere Plattformabbildung.</w:t>
      </w:r>
    </w:p>
    <w:p>
      <w:r>
        <w:t>Eine fünfte Best Practice ist die klare Trennung von Arbeits- und Freigabebereich. Arbeitsversionen dürfen flexibel entstehen. Freigabefassungen müssen stabil, versioniert und geschützt sein.</w:t>
      </w:r>
    </w:p>
    <w:p>
      <w:r>
        <w:t>Eine sechste Best Practice ist die regelmäßige Dokumentenprüfung in Quality Gates. Dabei wird nicht nur gefragt, ob ein Dokument existiert, sondern ob es vollständig, konsistent, freigegeben und anschlussfähig ist.</w:t>
      </w:r>
    </w:p>
    <w:p>
      <w:pPr>
        <w:pStyle w:val="Heading2"/>
      </w:pPr>
      <w:r>
        <w:t>9.19 Berater-Checkliste zu Kapitel 9</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E375A"/>
          </w:tcPr>
          <w:p>
            <w:r>
              <w:rPr>
                <w:b/>
                <w:color w:val="FFFFFF"/>
                <w:sz w:val="16"/>
              </w:rPr>
              <w:t>Prüffrage</w:t>
            </w:r>
          </w:p>
        </w:tc>
        <w:tc>
          <w:tcPr>
            <w:tcW w:type="dxa" w:w="4816"/>
            <w:vAlign w:val="center"/>
            <w:shd w:fill="1E375A"/>
          </w:tcPr>
          <w:p>
            <w:r>
              <w:rPr>
                <w:b/>
                <w:color w:val="FFFFFF"/>
                <w:sz w:val="16"/>
              </w:rPr>
              <w:t>Ziel</w:t>
            </w:r>
          </w:p>
        </w:tc>
      </w:tr>
      <w:tr>
        <w:tc>
          <w:tcPr>
            <w:tcW w:type="dxa" w:w="4816"/>
            <w:vAlign w:val="top"/>
          </w:tcPr>
          <w:p>
            <w:r>
              <w:rPr>
                <w:sz w:val="15"/>
              </w:rPr>
              <w:t>Gibt es eine Dokumentenlandkarte für das Projekt?</w:t>
            </w:r>
          </w:p>
        </w:tc>
        <w:tc>
          <w:tcPr>
            <w:tcW w:type="dxa" w:w="4816"/>
            <w:vAlign w:val="top"/>
          </w:tcPr>
          <w:p>
            <w:r>
              <w:rPr>
                <w:sz w:val="15"/>
              </w:rPr>
              <w:t>Überblick über alle zentralen Unterlagen schaffen.</w:t>
            </w:r>
          </w:p>
        </w:tc>
      </w:tr>
      <w:tr>
        <w:tc>
          <w:tcPr>
            <w:tcW w:type="dxa" w:w="4816"/>
            <w:vAlign w:val="top"/>
          </w:tcPr>
          <w:p>
            <w:r>
              <w:rPr>
                <w:sz w:val="15"/>
              </w:rPr>
              <w:t>Sind führende Dokumente definiert?</w:t>
            </w:r>
          </w:p>
        </w:tc>
        <w:tc>
          <w:tcPr>
            <w:tcW w:type="dxa" w:w="4816"/>
            <w:vAlign w:val="top"/>
          </w:tcPr>
          <w:p>
            <w:r>
              <w:rPr>
                <w:sz w:val="15"/>
              </w:rPr>
              <w:t>Doppelpflege und Widersprüche vermeiden.</w:t>
            </w:r>
          </w:p>
        </w:tc>
      </w:tr>
      <w:tr>
        <w:tc>
          <w:tcPr>
            <w:tcW w:type="dxa" w:w="4816"/>
            <w:vAlign w:val="top"/>
          </w:tcPr>
          <w:p>
            <w:r>
              <w:rPr>
                <w:sz w:val="15"/>
              </w:rPr>
              <w:t>Sind Metadaten wie Version, Status und Eigentümer gepflegt?</w:t>
            </w:r>
          </w:p>
        </w:tc>
        <w:tc>
          <w:tcPr>
            <w:tcW w:type="dxa" w:w="4816"/>
            <w:vAlign w:val="top"/>
          </w:tcPr>
          <w:p>
            <w:r>
              <w:rPr>
                <w:sz w:val="15"/>
              </w:rPr>
              <w:t>Nachvollziehbarkeit sicherstellen.</w:t>
            </w:r>
          </w:p>
        </w:tc>
      </w:tr>
      <w:tr>
        <w:tc>
          <w:tcPr>
            <w:tcW w:type="dxa" w:w="4816"/>
            <w:vAlign w:val="top"/>
          </w:tcPr>
          <w:p>
            <w:r>
              <w:rPr>
                <w:sz w:val="15"/>
              </w:rPr>
              <w:t>Gibt es eine klare Ablage- und Berechtigungsstruktur?</w:t>
            </w:r>
          </w:p>
        </w:tc>
        <w:tc>
          <w:tcPr>
            <w:tcW w:type="dxa" w:w="4816"/>
            <w:vAlign w:val="top"/>
          </w:tcPr>
          <w:p>
            <w:r>
              <w:rPr>
                <w:sz w:val="15"/>
              </w:rPr>
              <w:t>Dokumentenzugriff kontrollieren.</w:t>
            </w:r>
          </w:p>
        </w:tc>
      </w:tr>
      <w:tr>
        <w:tc>
          <w:tcPr>
            <w:tcW w:type="dxa" w:w="4816"/>
            <w:vAlign w:val="top"/>
          </w:tcPr>
          <w:p>
            <w:r>
              <w:rPr>
                <w:sz w:val="15"/>
              </w:rPr>
              <w:t>Sind Anforderungen, Risiken und Entscheidungen eindeutig identifizierbar?</w:t>
            </w:r>
          </w:p>
        </w:tc>
        <w:tc>
          <w:tcPr>
            <w:tcW w:type="dxa" w:w="4816"/>
            <w:vAlign w:val="top"/>
          </w:tcPr>
          <w:p>
            <w:r>
              <w:rPr>
                <w:sz w:val="15"/>
              </w:rPr>
              <w:t>Traceability ermöglichen.</w:t>
            </w:r>
          </w:p>
        </w:tc>
      </w:tr>
      <w:tr>
        <w:tc>
          <w:tcPr>
            <w:tcW w:type="dxa" w:w="4816"/>
            <w:vAlign w:val="top"/>
          </w:tcPr>
          <w:p>
            <w:r>
              <w:rPr>
                <w:sz w:val="15"/>
              </w:rPr>
              <w:t>Sind Ausschreibungsunterlagen vor Versand freigegeben?</w:t>
            </w:r>
          </w:p>
        </w:tc>
        <w:tc>
          <w:tcPr>
            <w:tcW w:type="dxa" w:w="4816"/>
            <w:vAlign w:val="top"/>
          </w:tcPr>
          <w:p>
            <w:r>
              <w:rPr>
                <w:sz w:val="15"/>
              </w:rPr>
              <w:t>Vergleichbarkeit und Verbindlichkeit sichern.</w:t>
            </w:r>
          </w:p>
        </w:tc>
      </w:tr>
      <w:tr>
        <w:tc>
          <w:tcPr>
            <w:tcW w:type="dxa" w:w="4816"/>
            <w:vAlign w:val="top"/>
          </w:tcPr>
          <w:p>
            <w:r>
              <w:rPr>
                <w:sz w:val="15"/>
              </w:rPr>
              <w:t>Ist das Fragen-Antworten-Log verbindlich?</w:t>
            </w:r>
          </w:p>
        </w:tc>
        <w:tc>
          <w:tcPr>
            <w:tcW w:type="dxa" w:w="4816"/>
            <w:vAlign w:val="top"/>
          </w:tcPr>
          <w:p>
            <w:r>
              <w:rPr>
                <w:sz w:val="15"/>
              </w:rPr>
              <w:t>Anbieterkommunikation steuern.</w:t>
            </w:r>
          </w:p>
        </w:tc>
      </w:tr>
      <w:tr>
        <w:tc>
          <w:tcPr>
            <w:tcW w:type="dxa" w:w="4816"/>
            <w:vAlign w:val="top"/>
          </w:tcPr>
          <w:p>
            <w:r>
              <w:rPr>
                <w:sz w:val="15"/>
              </w:rPr>
              <w:t>Sind Bewertungsdokumente gegen nachträgliche informelle Änderungen geschützt?</w:t>
            </w:r>
          </w:p>
        </w:tc>
        <w:tc>
          <w:tcPr>
            <w:tcW w:type="dxa" w:w="4816"/>
            <w:vAlign w:val="top"/>
          </w:tcPr>
          <w:p>
            <w:r>
              <w:rPr>
                <w:sz w:val="15"/>
              </w:rPr>
              <w:t>Integrität der Bewertung sichern.</w:t>
            </w:r>
          </w:p>
        </w:tc>
      </w:tr>
      <w:tr>
        <w:tc>
          <w:tcPr>
            <w:tcW w:type="dxa" w:w="4816"/>
            <w:vAlign w:val="top"/>
          </w:tcPr>
          <w:p>
            <w:r>
              <w:rPr>
                <w:sz w:val="15"/>
              </w:rPr>
              <w:t>Ist das Dokumentenmodell auf digitale Plattformobjekte übertragbar?</w:t>
            </w:r>
          </w:p>
        </w:tc>
        <w:tc>
          <w:tcPr>
            <w:tcW w:type="dxa" w:w="4816"/>
            <w:vAlign w:val="top"/>
          </w:tcPr>
          <w:p>
            <w:r>
              <w:rPr>
                <w:sz w:val="15"/>
              </w:rPr>
              <w:t>Wiederverwendbarkeit und Automatisierung vorbereiten.</w:t>
            </w:r>
          </w:p>
        </w:tc>
      </w:tr>
      <w:tr>
        <w:tc>
          <w:tcPr>
            <w:tcW w:type="dxa" w:w="4816"/>
            <w:vAlign w:val="top"/>
          </w:tcPr>
          <w:p>
            <w:r>
              <w:rPr>
                <w:sz w:val="15"/>
              </w:rPr>
              <w:t>Ist ein Abschluss- und Übergabepaket definiert?</w:t>
            </w:r>
          </w:p>
        </w:tc>
        <w:tc>
          <w:tcPr>
            <w:tcW w:type="dxa" w:w="4816"/>
            <w:vAlign w:val="top"/>
          </w:tcPr>
          <w:p>
            <w:r>
              <w:rPr>
                <w:sz w:val="15"/>
              </w:rPr>
              <w:t>Implementierung anschlussfähig machen.</w:t>
            </w:r>
          </w:p>
        </w:tc>
      </w:tr>
    </w:tbl>
    <w:p/>
    <w:p>
      <w:pPr>
        <w:pStyle w:val="Heading2"/>
      </w:pPr>
      <w:r>
        <w:t>9.20 Zusammenfassung</w:t>
      </w:r>
    </w:p>
    <w:p>
      <w:r>
        <w:t>Das Dokumentenmodell ist ein zentraler Bestandteil des adtender Selection Frameworks. Es sorgt dafür, dass die Vielzahl an Projektergebnissen strukturiert, versioniert, freigegeben und wiederverwendbar bleibt. Es definiert führende Dokumente, Metadaten, Statuslogik, Ablageprinzipien, IDs, Versionierung und Übergabefähigkeit.</w:t>
      </w:r>
    </w:p>
    <w:p>
      <w:r>
        <w:t>Für den Berater ist das Dokumentenmodell ein Qualitäts- und Steuerungsinstrument. Es verhindert, dass Inhalte in verstreuten Dateien, E-Mails oder Protokollen verloren gehen. Es stellt sicher, dass Anforderungen, Entscheidungen, Anbieterinformationen, Bewertungen und Risiken nachvollziehbar miteinander verbunden bleiben. Dadurch erhöht sich die Belastbarkeit der Auswahlentscheidung erheblich.</w:t>
      </w:r>
    </w:p>
    <w:p>
      <w:r>
        <w:t>Besonders wichtig ist die Verbindung zur digitalen Plattformlogik. Das ASF-Dokumentenmodell ist so aufgebaut, dass seine Inhalte später als strukturierte Objekte in einer Ausschreibungs- und Bewertungsplattform abgebildet werden können. Damit bildet es eine Brücke zwischen klassischer Beratungsmethodik und digital unterstütztem Auswahlprozess.</w:t>
      </w:r>
    </w:p>
    <w:p>
      <w:r>
        <w:t>Das nächste Kapitel behandelt Templates. Während dieses Kapitel beschreibt, wie Dokumente strukturell geführt werden, zeigt Kapitel 10, welche Vorlagen im ASF benötigt werden, wie sie aufgebaut sind und wie Berater sie in Projekten einsetzen.</w:t>
      </w:r>
    </w:p>
    <w:sectPr w:rsidR="00FC693F" w:rsidRPr="0006063C" w:rsidSect="00034616">
      <w:headerReference w:type="default" r:id="rId9"/>
      <w:footerReference w:type="default" r:id="rId10"/>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FSmall"/>
      <w:jc w:val="left"/>
    </w:pPr>
    <w:r>
      <w:t>Kapitel 9 – Dokumentenmodell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FSmall"/>
      <w:jc w:val="right"/>
    </w:pPr>
    <w:r>
      <w:t>adtender Selection Framework (ASF) | Methodenhandbuch | Kapitel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4"/>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E375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E375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374B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FBox">
    <w:name w:val="ASF Box"/>
    <w:pPr>
      <w:spacing w:after="80"/>
      <w:ind w:left="198" w:right="142"/>
    </w:pPr>
    <w:rPr>
      <w:rFonts w:ascii="Aptos" w:hAnsi="Aptos" w:eastAsia="Aptos"/>
      <w:color w:val="282828"/>
      <w:sz w:val="19"/>
    </w:rPr>
  </w:style>
  <w:style w:type="paragraph" w:customStyle="1" w:styleId="ASFSmall">
    <w:name w:val="ASF Small"/>
    <w:pPr>
      <w:spacing w:after="60"/>
    </w:pPr>
    <w:rPr>
      <w:rFonts w:ascii="Aptos" w:hAnsi="Aptos" w:eastAsia="Aptos"/>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