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Kapitel 10 – Templates</w:t>
      </w:r>
    </w:p>
    <w:p>
      <w:r>
        <w:rPr>
          <w:b/>
          <w:color w:val="1E375A"/>
          <w:sz w:val="25"/>
        </w:rPr>
        <w:t>Standardisierte Vorlagen als Beschleuniger und Qualitätssicherung der Softwareauswahl</w:t>
      </w:r>
    </w:p>
    <w:p>
      <w:r>
        <w:t>Templates sind ein zentrales Arbeitsmittel des adtender Selection Frameworks. Sie übersetzen Methodik in wiederholbare Beratungspraxis. Während die vorherigen Kapitel beschrieben haben, warum eine strukturierte Softwareauswahl notwendig ist, welche Prinzipien gelten, wie Rollen, Governance, Phasen, Deliverables und Dokumente aufgebaut sind, beschreibt dieses Kapitel die Vorlagenlogik des ASF. Templates sorgen dafür, dass Berater nicht jedes Projekt von Grund auf neu strukturieren müssen, sondern auf bewährte Arbeitsformen zurückgreifen können.</w:t>
      </w:r>
    </w:p>
    <w:p>
      <w:r>
        <w:t>Ein Template ist dabei mehr als eine leere Datei. Ein gutes Template enthält eine fachliche Logik, eine Struktur, Hinweise zur Anwendung, Qualitätskriterien und häufig bereits beispielhafte Inhalte. Es führt den Berater durch eine Aufgabe, ohne seine fachliche Verantwortung zu ersetzen. Es standardisiert, wo Standardisierung sinnvoll ist, und lässt Spielraum, wo Kundenkontext, Branche, Projektgröße oder Softwarekategorie Anpassungen erfordern.</w:t>
      </w:r>
    </w:p>
    <w:p>
      <w:r>
        <w:t>Dieses Kapitel legt die Grundlage für Teil C des Handbuchs, in dem die wichtigsten ASF-Templates als konkrete Arbeitsvorlagen beschrieben werden. Kapitel 10 erklärt zunächst, welche Rolle Templates im Beratungsprozess spielen, welche Arten von Templates benötigt werden, wie sie aufgebaut sein sollten, wie sie gepflegt werden und wie sie später in eine digitale Plattformlogik überführt werden können.</w:t>
      </w:r>
    </w:p>
    <w:p>
      <w:pPr>
        <w:pStyle w:val="Heading2"/>
      </w:pPr>
      <w:r>
        <w:t>10.1 Bedeutung von Templates in Softwareauswahlprojekten</w:t>
      </w:r>
    </w:p>
    <w:p>
      <w:r>
        <w:t>Softwareauswahlprojekte sind nie vollständig identisch. Ein ERP-Auswahlprojekt unterscheidet sich von einer CRM-, WMS-, APS-, LIMS-, QMS-, EAM- oder Integrationsplattform-Auswahl. Branchen, Unternehmensgrößen, regulatorische Anforderungen, bestehende Systemlandschaften und organisatorische Reifegrade unterscheiden sich erheblich. Dennoch ähneln sich viele methodische Aufgaben. In fast jedem Projekt müssen Ziele geklärt, Stakeholder eingebunden, Capabilities strukturiert, Anforderungen erhoben, Anbieter verglichen, Präsentationen bewertet und Entscheidungen vorbereitet werden.</w:t>
      </w:r>
    </w:p>
    <w:p>
      <w:r>
        <w:t>Templates nutzen diese Wiederholbarkeit. Sie verhindern, dass Berater in jedem Projekt dieselben Strukturen neu entwickeln. Dadurch erhöhen sie Geschwindigkeit und Qualität. Ein Projektauftrag muss nicht jedes Mal neu erfunden werden. Ein Anforderungskatalog benötigt nicht jedes Mal eine neue Spaltenlogik. Eine Bewertungsmatrix sollte nicht in jedem Projekt anders funktionieren. Ein Fragen-Antworten-Log sollte immer eindeutig zeigen, welche Anbieterfrage wie beantwortet wurde. Templates schaffen damit eine gemeinsame professionelle Sprache.</w:t>
      </w:r>
    </w:p>
    <w:p>
      <w:r>
        <w:t>Gleichzeitig schützen Templates vor typischen Fehlern. Ohne Template werden wichtige Felder vergessen, beispielsweise Akzeptanzkriterien, Prioritäten, Status oder Capability-Zuordnung. Ohne Template werden Bewertungsmaßstäbe uneinheitlich formuliert. Ohne Template werden Anbieterangebote in nicht vergleichbaren Formaten angefordert. Ohne Template wird die Entscheidungsvorlage entweder zu detailliert oder zu oberflächlich. Templates sind deshalb nicht nur Effizienzwerkzeuge, sondern Qualitätssicherungsinstrumente.</w:t>
      </w:r>
    </w:p>
    <w:p>
      <w:r>
        <w:t>Für den Berater haben Templates einen weiteren Vorteil: Sie geben Sicherheit im Vorgehen. Gerade bei komplexen Auswahlprojekten muss der Berater viele Themen parallel steuern. Templates reduzieren kognitive Last. Sie schaffen eine Grundstruktur, auf der der Berater fachlich aufbauen kann. Dadurch bleibt mehr Aufmerksamkeit für die eigentliche Beratungsleistung: die Interpretation des Kundenkontextes, die Moderation von Zielkonflikten, die Formulierung guter Anforderungen und die Vorbereitung belastbarer Entscheidungen.</w:t>
      </w:r>
    </w:p>
    <w:p>
      <w:r>
        <w:t>Templates dürfen jedoch nicht mechanisch verwendet werden. Ein Template ist kein Ersatz für Denken. Ein erfahrener Berater passt Vorlagen an Projektgröße, Branche, Reifegrad und Zielsetzung an. Die Kunst besteht darin, Standardisierung und Kontextsensibilität zu verbinden. Genau dieser Anspruch prägt das ASF-Template-Modell.</w:t>
      </w:r>
    </w:p>
    <w:p>
      <w:pPr>
        <w:pStyle w:val="Heading2"/>
      </w:pPr>
      <w:r>
        <w:t>10.2 Grundprinzipien für ASF-Templates</w:t>
      </w:r>
    </w:p>
    <w:p>
      <w:r>
        <w:t>ASF-Templates folgen mehreren Grundprinzipien. Das erste Prinzip lautet: Ein Template muss den Zweck des Arbeitsergebnisses unterstützen. Eine Vorlage ist nur dann gut, wenn sie hilft, ein konkretes Deliverable in geeigneter Qualität zu erstellen. Sie darf nicht nur schön aussehen, sondern muss den Denkprozess strukturieren. Ein Capability-Template muss helfen, Fähigkeiten zu identifizieren und zu priorisieren. Ein Anforderungstemplate muss helfen, Anforderungen prüfbar und lösungsneutral zu formulieren. Ein Bewertungstemplate muss Vergleichbarkeit herstellen.</w:t>
      </w:r>
    </w:p>
    <w:p>
      <w:r>
        <w:t>Das zweite Prinzip lautet: Ein Template muss so einfach wie möglich und so vollständig wie nötig sein. Zu einfache Vorlagen führen zu Lücken. Zu komplexe Vorlagen überfordern Projektteams und werden nicht gepflegt. Der Berater muss mit einer Vorlage arbeiten können, ohne das Projekt in administrative Arbeit zu verwandeln. Gute Templates enthalten daher Pflichtfelder, optionale Felder und Anwendungshinweise.</w:t>
      </w:r>
    </w:p>
    <w:p>
      <w:r>
        <w:t>Das dritte Prinzip lautet: Templates müssen traceability-fähig sein. Sie müssen Verbindungen zwischen Strategie, Capabilities, Prozessen, Anforderungen, Bewertung, Anbieterantworten und Entscheidung ermöglichen. Ein Anforderungstemplate ohne Capability-Bezug verliert diese Verbindung. Ein Bewertungsbogen ohne Bezug zu Anforderungen wird subjektiv. Ein Demo-Szenario ohne Prozessbezug wird zur Produktshow.</w:t>
      </w:r>
    </w:p>
    <w:p>
      <w:r>
        <w:t>Das vierte Prinzip lautet: Templates müssen wiederverwendbar und anpassbar sein. Wiederverwendbarkeit bedeutet nicht, dass jedes Projekt dieselbe Vorlage unverändert nutzt. Es bedeutet, dass eine stabile Grundstruktur existiert, die projektspezifisch angepasst werden kann. Ein Template sollte daher klar zwischen festen methodischen Elementen und variablen projektspezifischen Inhalten unterscheiden.</w:t>
      </w:r>
    </w:p>
    <w:p>
      <w:r>
        <w:t>Das fünfte Prinzip lautet: Templates müssen sowohl in klassischen Office-Formaten als auch in einer digitalen Plattform funktionieren. Ein Template sollte deshalb möglichst strukturierte Felder besitzen. Was heute als Excel-Spalte oder Word-Tabelle erscheint, kann morgen ein Datenfeld in adtender sein. Diese Plattformfähigkeit erhöht den langfristigen Wert der Methodik.</w:t>
      </w:r>
    </w:p>
    <w:tbl>
      <w:tblPr>
        <w:tblW w:type="auto" w:w="0"/>
        <w:jc w:val="center"/>
        <w:tblLook w:firstColumn="1" w:firstRow="1" w:lastColumn="0" w:lastRow="0" w:noHBand="0" w:noVBand="1" w:val="04A0"/>
      </w:tblPr>
      <w:tblGrid>
        <w:gridCol w:w="9632"/>
      </w:tblGrid>
      <w:tr>
        <w:tc>
          <w:tcPr>
            <w:tcW w:type="dxa" w:w="9632"/>
            <w:shd w:fill="EEF3F8"/>
            <w:tcBorders>
              <w:top w:val="single" w:sz="8" w:space="0" w:color="9EB6D8"/>
              <w:left w:val="single" w:sz="8" w:space="0" w:color="9EB6D8"/>
              <w:bottom w:val="single" w:sz="8" w:space="0" w:color="9EB6D8"/>
              <w:right w:val="single" w:sz="8" w:space="0" w:color="9EB6D8"/>
            </w:tcBorders>
          </w:tcPr>
          <w:p>
            <w:r>
              <w:rPr>
                <w:b/>
                <w:color w:val="1E375A"/>
                <w:sz w:val="20"/>
              </w:rPr>
              <w:t>Beraterhinweis</w:t>
            </w:r>
          </w:p>
          <w:p>
            <w:pPr>
              <w:pStyle w:val="ASFBox"/>
            </w:pPr>
            <w:r>
              <w:t>Ein gutes Template erkennt man daran, dass es den Berater zu besseren Fragen führt. Wenn eine Vorlage nur Felder sammelt, aber keine fachliche Denklogik vorgibt, ist sie schwach. Wenn sie dagegen hilft, Anforderungen zu schärfen, Entscheidungen vorzubereiten oder Zielkonflikte sichtbar zu machen, erfüllt sie ihren Zweck.</w:t>
            </w:r>
          </w:p>
        </w:tc>
      </w:tr>
    </w:tbl>
    <w:p/>
    <w:p>
      <w:pPr>
        <w:pStyle w:val="Heading2"/>
      </w:pPr>
      <w:r>
        <w:t>10.3 Template-Kategorien im ASF</w:t>
      </w:r>
    </w:p>
    <w:p>
      <w:r>
        <w:t>Die Templates des ASF lassen sich in mehrere Kategorien einteilen. Diese Kategorien orientieren sich an den Aufgaben im Auswahlprozess. Sie helfen dem Berater, schnell zu erkennen, welche Vorlage in welcher Phase benötigt wird und welche Ergebnisart damit erzeugt wird.</w:t>
      </w:r>
    </w:p>
    <w:p>
      <w:r>
        <w:t>Steuerungstemplates unterstützen Projektleitung und Governance. Dazu gehören Projektauftrag, Projektplan, Rollenmatrix, RACI, Stakeholderanalyse, Kommunikationsplan, Entscheidungsregister, Risikoregister, Quality-Gate-Checklisten und Statusberichte. Sie sichern die Projektführung.</w:t>
      </w:r>
    </w:p>
    <w:p>
      <w:r>
        <w:t>Fachtemplates unterstützen die inhaltliche Arbeit. Dazu gehören Capability Map, Ist-Analyse, Sollprozessbeschreibung, Szenario-Template, funktionaler Anforderungskatalog, nicht-funktionaler Anforderungskatalog und Daten-/Schnittstellenübersicht. Sie strukturieren den fachlichen Bedarf.</w:t>
      </w:r>
    </w:p>
    <w:p>
      <w:r>
        <w:t>Ausschreibungstemplates unterstützen Marktansprache und Anbieterkommunikation. Dazu gehören Longlist, Anbieterprofil, RFI, RFP, Lastenheftstruktur, Preisblatt, Anbieterantworttemplate, Fragen-Antworten-Log und Kommunikationsregeln. Sie stellen sicher, dass Anbieter vergleichbar angesprochen werden.</w:t>
      </w:r>
    </w:p>
    <w:p>
      <w:r>
        <w:t>Bewertungstemplates unterstützen Auswertung und Entscheidung. Dazu gehören Bewertungsmatrix, Demo-Bewertungsbogen, Anbieterpräsentationsprotokoll, Gesamtbewertung, TCO-Modell, Risikoauswertung und Entscheidungsvorlage. Sie machen Ergebnisse nachvollziehbar.</w:t>
      </w:r>
    </w:p>
    <w:p>
      <w:r>
        <w:t>Übergabetemplates unterstützen die Überführung in Implementierung und Betrieb. Dazu gehören Übergabepaket, offene-Punkte-Liste, Vertragsanhangsliste, PoC-Auswertung, Nutzencontrolling und Lessons Learned. Sie verhindern, dass Wissen aus der Auswahlphase verloren geht.</w:t>
      </w:r>
    </w:p>
    <w:tbl>
      <w:tblPr>
        <w:tblStyle w:val="TableGrid"/>
        <w:tblW w:type="auto" w:w="0"/>
        <w:jc w:val="center"/>
        <w:tblLook w:firstColumn="1" w:firstRow="1" w:lastColumn="0" w:lastRow="0" w:noHBand="0" w:noVBand="1" w:val="04A0"/>
      </w:tblPr>
      <w:tblGrid>
        <w:gridCol w:w="3211"/>
        <w:gridCol w:w="3211"/>
        <w:gridCol w:w="3211"/>
      </w:tblGrid>
      <w:tr>
        <w:tc>
          <w:tcPr>
            <w:tcW w:type="dxa" w:w="3211"/>
            <w:vAlign w:val="center"/>
            <w:shd w:fill="1E375A"/>
          </w:tcPr>
          <w:p>
            <w:r>
              <w:rPr>
                <w:b/>
                <w:color w:val="FFFFFF"/>
                <w:sz w:val="16"/>
              </w:rPr>
              <w:t>Template-Kategorie</w:t>
            </w:r>
          </w:p>
        </w:tc>
        <w:tc>
          <w:tcPr>
            <w:tcW w:type="dxa" w:w="3211"/>
            <w:vAlign w:val="center"/>
            <w:shd w:fill="1E375A"/>
          </w:tcPr>
          <w:p>
            <w:r>
              <w:rPr>
                <w:b/>
                <w:color w:val="FFFFFF"/>
                <w:sz w:val="16"/>
              </w:rPr>
              <w:t>Zweck</w:t>
            </w:r>
          </w:p>
        </w:tc>
        <w:tc>
          <w:tcPr>
            <w:tcW w:type="dxa" w:w="3211"/>
            <w:vAlign w:val="center"/>
            <w:shd w:fill="1E375A"/>
          </w:tcPr>
          <w:p>
            <w:r>
              <w:rPr>
                <w:b/>
                <w:color w:val="FFFFFF"/>
                <w:sz w:val="16"/>
              </w:rPr>
              <w:t>Beispiele</w:t>
            </w:r>
          </w:p>
        </w:tc>
      </w:tr>
      <w:tr>
        <w:tc>
          <w:tcPr>
            <w:tcW w:type="dxa" w:w="3211"/>
            <w:vAlign w:val="top"/>
          </w:tcPr>
          <w:p>
            <w:r>
              <w:rPr>
                <w:sz w:val="15"/>
              </w:rPr>
              <w:t>Steuerung</w:t>
            </w:r>
          </w:p>
        </w:tc>
        <w:tc>
          <w:tcPr>
            <w:tcW w:type="dxa" w:w="3211"/>
            <w:vAlign w:val="top"/>
          </w:tcPr>
          <w:p>
            <w:r>
              <w:rPr>
                <w:sz w:val="15"/>
              </w:rPr>
              <w:t>Projektführung, Governance und Qualitätssicherung</w:t>
            </w:r>
          </w:p>
        </w:tc>
        <w:tc>
          <w:tcPr>
            <w:tcW w:type="dxa" w:w="3211"/>
            <w:vAlign w:val="top"/>
          </w:tcPr>
          <w:p>
            <w:r>
              <w:rPr>
                <w:sz w:val="15"/>
              </w:rPr>
              <w:t>Projektauftrag, RACI, Entscheidungsregister, Quality-Gate-Checkliste</w:t>
            </w:r>
          </w:p>
        </w:tc>
      </w:tr>
      <w:tr>
        <w:tc>
          <w:tcPr>
            <w:tcW w:type="dxa" w:w="3211"/>
            <w:vAlign w:val="top"/>
          </w:tcPr>
          <w:p>
            <w:r>
              <w:rPr>
                <w:sz w:val="15"/>
              </w:rPr>
              <w:t>Facharbeit</w:t>
            </w:r>
          </w:p>
        </w:tc>
        <w:tc>
          <w:tcPr>
            <w:tcW w:type="dxa" w:w="3211"/>
            <w:vAlign w:val="top"/>
          </w:tcPr>
          <w:p>
            <w:r>
              <w:rPr>
                <w:sz w:val="15"/>
              </w:rPr>
              <w:t>Fachlichen Bedarf und Zielzustand strukturieren</w:t>
            </w:r>
          </w:p>
        </w:tc>
        <w:tc>
          <w:tcPr>
            <w:tcW w:type="dxa" w:w="3211"/>
            <w:vAlign w:val="top"/>
          </w:tcPr>
          <w:p>
            <w:r>
              <w:rPr>
                <w:sz w:val="15"/>
              </w:rPr>
              <w:t>Capability Map, Sollprozess, funktionale Anforderungen, Schnittstellenübersicht</w:t>
            </w:r>
          </w:p>
        </w:tc>
      </w:tr>
      <w:tr>
        <w:tc>
          <w:tcPr>
            <w:tcW w:type="dxa" w:w="3211"/>
            <w:vAlign w:val="top"/>
          </w:tcPr>
          <w:p>
            <w:r>
              <w:rPr>
                <w:sz w:val="15"/>
              </w:rPr>
              <w:t>Ausschreibung</w:t>
            </w:r>
          </w:p>
        </w:tc>
        <w:tc>
          <w:tcPr>
            <w:tcW w:type="dxa" w:w="3211"/>
            <w:vAlign w:val="top"/>
          </w:tcPr>
          <w:p>
            <w:r>
              <w:rPr>
                <w:sz w:val="15"/>
              </w:rPr>
              <w:t>Marktansprache und Anbieterkommunikation standardisieren</w:t>
            </w:r>
          </w:p>
        </w:tc>
        <w:tc>
          <w:tcPr>
            <w:tcW w:type="dxa" w:w="3211"/>
            <w:vAlign w:val="top"/>
          </w:tcPr>
          <w:p>
            <w:r>
              <w:rPr>
                <w:sz w:val="15"/>
              </w:rPr>
              <w:t>RFI, RFP, Lastenheft, Preisblatt, Q&amp;A-Log</w:t>
            </w:r>
          </w:p>
        </w:tc>
      </w:tr>
      <w:tr>
        <w:tc>
          <w:tcPr>
            <w:tcW w:type="dxa" w:w="3211"/>
            <w:vAlign w:val="top"/>
          </w:tcPr>
          <w:p>
            <w:r>
              <w:rPr>
                <w:sz w:val="15"/>
              </w:rPr>
              <w:t>Bewertung</w:t>
            </w:r>
          </w:p>
        </w:tc>
        <w:tc>
          <w:tcPr>
            <w:tcW w:type="dxa" w:w="3211"/>
            <w:vAlign w:val="top"/>
          </w:tcPr>
          <w:p>
            <w:r>
              <w:rPr>
                <w:sz w:val="15"/>
              </w:rPr>
              <w:t>Anbieter vergleichbar beurteilen und Entscheidung vorbereiten</w:t>
            </w:r>
          </w:p>
        </w:tc>
        <w:tc>
          <w:tcPr>
            <w:tcW w:type="dxa" w:w="3211"/>
            <w:vAlign w:val="top"/>
          </w:tcPr>
          <w:p>
            <w:r>
              <w:rPr>
                <w:sz w:val="15"/>
              </w:rPr>
              <w:t>Bewertungsmatrix, Demo-Bogen, TCO-Modell, Entscheidungsvorlage</w:t>
            </w:r>
          </w:p>
        </w:tc>
      </w:tr>
      <w:tr>
        <w:tc>
          <w:tcPr>
            <w:tcW w:type="dxa" w:w="3211"/>
            <w:vAlign w:val="top"/>
          </w:tcPr>
          <w:p>
            <w:r>
              <w:rPr>
                <w:sz w:val="15"/>
              </w:rPr>
              <w:t>Übergabe</w:t>
            </w:r>
          </w:p>
        </w:tc>
        <w:tc>
          <w:tcPr>
            <w:tcW w:type="dxa" w:w="3211"/>
            <w:vAlign w:val="top"/>
          </w:tcPr>
          <w:p>
            <w:r>
              <w:rPr>
                <w:sz w:val="15"/>
              </w:rPr>
              <w:t>Auswahlwissen in Implementierung und Vertrag überführen</w:t>
            </w:r>
          </w:p>
        </w:tc>
        <w:tc>
          <w:tcPr>
            <w:tcW w:type="dxa" w:w="3211"/>
            <w:vAlign w:val="top"/>
          </w:tcPr>
          <w:p>
            <w:r>
              <w:rPr>
                <w:sz w:val="15"/>
              </w:rPr>
              <w:t>Übergabepaket, PoC-Auswertung, offene Punkte, Lessons Learned</w:t>
            </w:r>
          </w:p>
        </w:tc>
      </w:tr>
    </w:tbl>
    <w:p/>
    <w:p>
      <w:pPr>
        <w:pStyle w:val="Heading2"/>
      </w:pPr>
      <w:r>
        <w:t>10.4 Template für den Projektauftrag</w:t>
      </w:r>
    </w:p>
    <w:p>
      <w:r>
        <w:t>Das Projektauftrag-Template ist eines der ersten Templates im Auswahlprozess. Es hilft, aus einem noch unscharfen Projektanlass einen belastbaren Auftrag zu formen. Der Projektauftrag beschreibt nicht nur, dass eine Softwareauswahl durchgeführt wird, sondern warum sie notwendig ist, welche Ziele verfolgt werden und unter welchen Rahmenbedingungen gearbeitet wird.</w:t>
      </w:r>
    </w:p>
    <w:p>
      <w:r>
        <w:t>Ein gutes Projektauftrag-Template enthält Felder für Ausgangssituation, Problemstellung, Zielsetzung, erwarteten Nutzen, Scope, Nicht-Ziele, betroffene Organisationseinheiten, Projektrollen, Governance, Zeitplan, Budgetrahmen, Risiken und Abhängigkeiten. Besonders wichtig sind Zielsetzung und Nicht-Ziele. Sie verhindern, dass das Projekt später unkontrolliert wächst oder unterschiedliche Erwartungen parallel bestehen.</w:t>
      </w:r>
    </w:p>
    <w:p>
      <w:r>
        <w:t>Der Berater nutzt dieses Template in der Initialisierungsphase gemeinsam mit Auftraggeber und Projektleitung. Es ist kein Formular, das allein ausgefüllt wird, sondern ein Moderationsinstrument. Während der Bearbeitung werden oft grundlegende Fragen sichtbar: Ist das Projekt fachlich oder technisch motiviert? Gibt es ein Managementmandat? Welche Bereiche sind betroffen? Wie weit soll die Auswahl gehen? Welche Entscheidungen sollen vorbereitet werden?</w:t>
      </w:r>
    </w:p>
    <w:p>
      <w:r>
        <w:t>Das Template sollte ausreichend Raum für erläuternden Text bieten. Ein Projektauftrag, der nur aus Stichworten besteht, ist selten belastbar. Gerade der geschäftliche Anlass muss ausformuliert werden, damit später nachvollziehbar bleibt, warum das Projekt gestartet wurde. Gleichzeitig sollte der Projektauftrag nicht zu lang werden. Er muss als Steuerungsdokument lesbar bleiben.</w:t>
      </w:r>
    </w:p>
    <w:p>
      <w:pPr>
        <w:pStyle w:val="Heading2"/>
      </w:pPr>
      <w:r>
        <w:t>10.5 Template für Stakeholderanalyse und Kommunikationsplan</w:t>
      </w:r>
    </w:p>
    <w:p>
      <w:r>
        <w:t>Das Stakeholderanalyse-Template unterstützt den Berater dabei, alle relevanten Beteiligten systematisch zu erfassen. Es sollte nicht nur Namen und Rollen sammeln, sondern Einfluss, Betroffenheit, Erwartung, mögliche Widerstände und geplante Einbindung beschreiben. Dadurch entsteht ein realistisches Bild des Projektumfeldes.</w:t>
      </w:r>
    </w:p>
    <w:p>
      <w:r>
        <w:t>Typische Felder sind Stakeholdergruppe, konkrete Rolle oder Person, Organisationseinheit, Einfluss, Betroffenheit, Haltung zum Projekt, Informationsbedarf, Einbindungsform, Kommunikationsfrequenz und Verantwortlicher. Besonders hilfreich ist die Unterscheidung zwischen hoher Betroffenheit und hohem Einfluss. Personen mit hoher Betroffenheit benötigen frühzeitige fachliche Einbindung, auch wenn sie keine formale Entscheidungsrolle haben. Personen mit hohem Einfluss benötigen entscheidungsorientierte Kommunikation.</w:t>
      </w:r>
    </w:p>
    <w:p>
      <w:r>
        <w:t>Der Kommunikationsplan baut auf der Stakeholderanalyse auf. Er beschreibt, wer wann mit welcher Botschaft und über welchen Kanal informiert wird. In Softwareauswahlprojekten ist Kommunikation nicht nur Begleitaktivität. Sie schafft Akzeptanz, reduziert Unsicherheit und verhindert Gerüchte. Gerade wenn die spätere Lösung Prozesse verändert, muss Kommunikation früh beginnen.</w:t>
      </w:r>
    </w:p>
    <w:p>
      <w:r>
        <w:t>Das Template sollte auch kritische Stakeholder sichtbar machen. Widerstand ist nicht grundsätzlich negativ. Er kann auf echte Risiken hinweisen. Ein guter Berater nutzt die Stakeholderanalyse daher nicht zur politischen Kontrolle, sondern zur frühzeitigen Risikowahrnehmung.</w:t>
      </w:r>
    </w:p>
    <w:p>
      <w:pPr>
        <w:pStyle w:val="Heading2"/>
      </w:pPr>
      <w:r>
        <w:t>10.6 Template für strategische Leitplanken und Zielbild</w:t>
      </w:r>
    </w:p>
    <w:p>
      <w:r>
        <w:t>Das Template für strategische Leitplanken und Zielbild ist besonders wichtig, weil es die Verbindung zwischen Unternehmensstrategie und Softwareauswahl herstellt. Es hilft, allgemeine Zielaussagen in prüfbare Auswahlkriterien zu übersetzen.</w:t>
      </w:r>
    </w:p>
    <w:p>
      <w:r>
        <w:t>Die Vorlage sollte Bereiche für strategischen Anlass, Zielzustand, Leitprinzipien, Scope, Nicht-Ziele, Standardisierungsgrad, Zielarchitektur, Betriebsmodell, Datenstrategie, Integrationsprinzipien, wirtschaftliche Erwartungen und Entscheidungskriterien enthalten. Je nach Projekt können weitere Themen ergänzt werden, beispielsweise regulatorische Vorgaben, Internationalisierung, Migrationsstrategie oder Cloud-Leitplanken.</w:t>
      </w:r>
    </w:p>
    <w:p>
      <w:r>
        <w:t>Ein zentrales Element ist die Übersetzung in Bewertungskriterien. Wenn eine Leitplanke lautet, dass die Lösung international skalierbar sein muss, sollte das Template bereits fragen, wie Skalierbarkeit später bewertet wird. Wenn Standardisierung wichtig ist, muss geklärt werden, welche Prozesse standardisiert werden sollen und welche Ausnahmen zulässig sind. Dadurch verhindert das Template, dass Leitplanken abstrakt bleiben.</w:t>
      </w:r>
    </w:p>
    <w:p>
      <w:r>
        <w:t>Der Berater sollte dieses Template nicht nur im Managementworkshop verwenden, sondern später immer wieder darauf zurückgreifen. Es dient als Prüfstein für Anforderungen, Shortlist, Bewertung und Entscheidungsvorlage.</w:t>
      </w:r>
    </w:p>
    <w:tbl>
      <w:tblPr>
        <w:tblW w:type="auto" w:w="0"/>
        <w:jc w:val="center"/>
        <w:tblLook w:firstColumn="1" w:firstRow="1" w:lastColumn="0" w:lastRow="0" w:noHBand="0" w:noVBand="1" w:val="04A0"/>
      </w:tblPr>
      <w:tblGrid>
        <w:gridCol w:w="9632"/>
      </w:tblGrid>
      <w:tr>
        <w:tc>
          <w:tcPr>
            <w:tcW w:type="dxa" w:w="9632"/>
            <w:shd w:fill="EEF3F8"/>
            <w:tcBorders>
              <w:top w:val="single" w:sz="8" w:space="0" w:color="9EB6D8"/>
              <w:left w:val="single" w:sz="8" w:space="0" w:color="9EB6D8"/>
              <w:bottom w:val="single" w:sz="8" w:space="0" w:color="9EB6D8"/>
              <w:right w:val="single" w:sz="8" w:space="0" w:color="9EB6D8"/>
            </w:tcBorders>
          </w:tcPr>
          <w:p>
            <w:r>
              <w:rPr>
                <w:b/>
                <w:color w:val="1E375A"/>
                <w:sz w:val="20"/>
              </w:rPr>
              <w:t>Praxishinweis</w:t>
            </w:r>
          </w:p>
          <w:p>
            <w:pPr>
              <w:pStyle w:val="ASFBox"/>
            </w:pPr>
            <w:r>
              <w:t>Strategische Leitplanken sind nur dann wirksam, wenn sie später Konsequenzen haben. Das Template sollte deshalb zu jeder Leitplanke ein Feld 'Auswirkung auf Auswahl und Bewertung' enthalten. Dadurch wird früh sichtbar, ob eine Leitplanke tatsächlich entscheidungsrelevant ist.</w:t>
            </w:r>
          </w:p>
        </w:tc>
      </w:tr>
    </w:tbl>
    <w:p/>
    <w:p>
      <w:pPr>
        <w:pStyle w:val="Heading2"/>
      </w:pPr>
      <w:r>
        <w:t>10.7 Template für Capability Map</w:t>
      </w:r>
    </w:p>
    <w:p>
      <w:r>
        <w:t>Das Capability-Map-Template strukturiert die geschäftlichen Fähigkeiten, die eine zukünftige Softwarelösung unterstützen soll. Es verhindert, dass das Projekt zu früh in Funktionsdiskussionen abgleitet. Die Vorlage sollte Capabilities so erfassen, dass sie später mit Prozessen, Anforderungen und Bewertung verknüpft werden können.</w:t>
      </w:r>
    </w:p>
    <w:p>
      <w:r>
        <w:t>Typische Felder sind Capability-ID, Capability-Name, Beschreibung, strategische Relevanz, heutiger Reifegrad, Zielreifegrad, Handlungsbedarf, betroffene Bereiche, zugehörige Prozesse, relevante Datenobjekte und Priorität. Optional können Risiken, Pain Points oder Nutzenpotenziale ergänzt werden.</w:t>
      </w:r>
    </w:p>
    <w:p>
      <w:r>
        <w:t>Die Capability Map sollte weder zu grob noch zu kleinteilig sein. Wenn Capabilities zu allgemein formuliert werden, helfen sie nicht bei der Ableitung von Anforderungen. Wenn sie zu detailliert werden, werden sie zu Funktionslisten. Das Template sollte daher Beispiele und Formulierungshinweise enthalten. Eine gute Capability beschreibt eine Fähigkeit des Unternehmens, nicht eine Bildschirmfunktion.</w:t>
      </w:r>
    </w:p>
    <w:p>
      <w:r>
        <w:t>Der Berater nutzt das Template in Workshops mit Fachbereichen und Management. Es kann als Tabelle, visuelle Karte oder Plattformobjekt umgesetzt werden. Wichtig ist, dass Capabilities eindeutig identifizierbar sind und als Ordnungsrahmen für spätere Anforderungen dienen.</w:t>
      </w:r>
    </w:p>
    <w:p>
      <w:pPr>
        <w:pStyle w:val="Heading2"/>
      </w:pPr>
      <w:r>
        <w:t>10.8 Template für Sollprozesse und Demo-Szenarien</w:t>
      </w:r>
    </w:p>
    <w:p>
      <w:r>
        <w:t>Das Sollprozess-Template beschreibt zukünftige Arbeitsweisen. Es sollte Prozesse so darstellen, dass daraus Anforderungen, Szenarien und Bewertungskriterien abgeleitet werden können. Dabei muss nicht jedes Projekt eine vollständige Prozessmodellierung in formaler Notation durchführen. Entscheidend ist, dass Prozesslogik, Rollen, Daten, Entscheidungen und Ausnahmen klar beschrieben sind.</w:t>
      </w:r>
    </w:p>
    <w:p>
      <w:r>
        <w:t>Typische Felder sind Prozessname, Prozessziel, beteiligte Rollen, Auslöser, Eingangsdaten, Prozessschritte, Entscheidungen, Ausnahmen, Ausgangsdaten, beteiligte Systeme, kritische Anforderungen und offene Punkte. Für komplexe Prozesse kann zusätzlich eine grafische Darstellung genutzt werden.</w:t>
      </w:r>
    </w:p>
    <w:p>
      <w:r>
        <w:t>Demo-Szenarien sind eine verdichtete Form der Sollprozesslogik. Das Szenario-Template sollte Ausgangssituation, Rollen, Testdaten, Prozessschritte, erwartete Systemreaktionen, zu prüfende Anforderungen und Bewertungskriterien enthalten. Dadurch können Anbieterpräsentationen strukturiert vorbereitet werden.</w:t>
      </w:r>
    </w:p>
    <w:p>
      <w:r>
        <w:t>Der Berater muss darauf achten, dass Szenarien realistisch und differenzierend sind. Ein Szenario sollte typische Projektrealität abbilden, aber auch kritische Anforderungen sichtbar machen. Zu einfache Szenarien zeigen kaum Unterschiede zwischen Anbietern. Zu komplexe Szenarien überfordern Präsentationen und führen zu unvollständigen Nachweisen.</w:t>
      </w:r>
    </w:p>
    <w:p>
      <w:pPr>
        <w:pStyle w:val="Heading2"/>
      </w:pPr>
      <w:r>
        <w:t>10.9 Template für funktionale Anforderungen</w:t>
      </w:r>
    </w:p>
    <w:p>
      <w:r>
        <w:t>Das Template für funktionale Anforderungen gehört zu den wichtigsten Vorlagen im ASF. Es strukturiert den fachlichen Bedarf und bildet die Grundlage für Lastenheft, Anbieterantworten, Bewertung, Demo-Szenarien und spätere Implementierung. Seine Qualität beeinflusst unmittelbar die Qualität des gesamten Auswahlprozesses.</w:t>
      </w:r>
    </w:p>
    <w:p>
      <w:r>
        <w:t>Die Vorlage sollte mindestens folgende Felder enthalten: Anforderungs-ID, Kategorie, Capability-Bezug, Prozessbezug, Titel, Beschreibung, Priorität, Kritikalität, Akzeptanzkriterium, Quelle, Status, Verantwortlicher, Anbieterantwort, Bewertung und Kommentar. Je nach Projekt können Felder für Standortbezug, Datenobjekt, regulatorische Relevanz, Vertragsrelevanz oder Customizing-Risiko ergänzt werden.</w:t>
      </w:r>
    </w:p>
    <w:p>
      <w:r>
        <w:t>Besonders wichtig sind Titel, Beschreibung und Akzeptanzkriterium. Der Titel schafft Orientierung, die Beschreibung erklärt den Bedarf, das Akzeptanzkriterium macht die Anforderung prüfbar. Ohne Akzeptanzkriterium bleibt oft unklar, wann eine Anforderung als erfüllt gilt.</w:t>
      </w:r>
    </w:p>
    <w:p>
      <w:r>
        <w:t>Das Template sollte Formulierungshinweise enthalten. Anforderungen sollten lösungsneutral, eindeutig und prüfbar formuliert sein. Sie sollten keine Produktnamen enthalten und nicht mehrere Anforderungen in einem Satz vermischen. Der Berater muss Anforderungen aktiv redaktionell bearbeiten. Gute Anforderungen entstehen selten vollständig aus Workshopaussagen, sondern durch fachliche Übersetzung und Konsolidierung.</w:t>
      </w:r>
    </w:p>
    <w:p>
      <w:pPr>
        <w:pStyle w:val="Heading2"/>
      </w:pPr>
      <w:r>
        <w:t>10.10 Template für nicht-funktionale Anforderungen</w:t>
      </w:r>
    </w:p>
    <w:p>
      <w:r>
        <w:t>Nicht-funktionale Anforderungen benötigen ein eigenes Template oder eine klar getrennte Struktur innerhalb des Anforderungskatalogs. Sie betreffen Architektur, Betrieb, Verfügbarkeit, Performance, Sicherheit, Datenschutz, Integration, Usability, Skalierbarkeit, Wartbarkeit, Dokumentation, Support und Compliance. Diese Anforderungen werden häufig nicht von denselben Personen formuliert wie funktionale Anforderungen und benötigen daher eine eigene Erhebungslogik.</w:t>
      </w:r>
    </w:p>
    <w:p>
      <w:r>
        <w:t>Das Template sollte Kategorien vorgeben, damit keine wesentlichen Themen vergessen werden. Typische Kategorien sind Architektur und Betriebsmodell, Integration und Schnittstellen, Identitäts- und Berechtigungsmanagement, Informationssicherheit, Datenschutz, Reporting und Daten, Performance und Skalierbarkeit, Verfügbarkeit und Notfallkonzept, Release- und Patch-Management, Support und Service Levels sowie Dokumentation und Schulung.</w:t>
      </w:r>
    </w:p>
    <w:p>
      <w:r>
        <w:t>Auch nicht-funktionale Anforderungen müssen prüfbar sein. Aussagen wie 'hohe Verfügbarkeit' oder 'gute Performance' sind zu ungenau. Das Template sollte daher Felder für konkrete Zielwerte, Nachweise, Messmethoden oder Mindestanforderungen vorsehen. Wenn Zielwerte noch nicht bekannt sind, sollte dies als offener Punkt dokumentiert werden.</w:t>
      </w:r>
    </w:p>
    <w:p>
      <w:r>
        <w:t>Der Berater sollte das Template gemeinsam mit IT, Architektur, Informationssicherheit, Datenschutz und Betrieb bearbeiten. Dadurch wird verhindert, dass technische und regulatorische Anforderungen erst nach der fachlichen Anbieterentscheidung sichtbar werden.</w:t>
      </w:r>
    </w:p>
    <w:p>
      <w:pPr>
        <w:pStyle w:val="Heading2"/>
      </w:pPr>
      <w:r>
        <w:t>10.11 Template für Longlist und Shortlist</w:t>
      </w:r>
    </w:p>
    <w:p>
      <w:r>
        <w:t>Longlist- und Shortlist-Templates strukturieren die Marktanalyse. Sie machen sichtbar, welche Anbieter betrachtet wurden, welche Kriterien relevant waren und warum Anbieter in die nächste Stufe aufgenommen oder ausgeschlossen wurden. Diese Transparenz ist für Fairness und Nachvollziehbarkeit wesentlich.</w:t>
      </w:r>
    </w:p>
    <w:p>
      <w:r>
        <w:t>Ein Longlist-Template enthält Anbietername, Produkt, Marktsegment, Länderabdeckung, Referenzen, Branchenfokus, funktionale Grundpassung, technologische Ausrichtung, Integrationsfähigkeit, Betriebsmodell, Implementierungspartner, erste Risikoeinschätzung und Quelle der Information. Es sollte Raum für qualitative Kommentare bieten, da Marktinformationen nicht immer vollständig vergleichbar sind.</w:t>
      </w:r>
    </w:p>
    <w:p>
      <w:r>
        <w:t>Das Shortlist-Template fokussiert stärker auf Auswahlkriterien. Es sollte Kriterien, Bewertung, Begründung und Entscheidung enthalten. Wichtig ist, dass Ausschlüsse nachvollziehbar dokumentiert werden. Ein Anbieter sollte nicht einfach verschwinden, sondern mit einer methodischen Begründung ausgeschlossen werden.</w:t>
      </w:r>
    </w:p>
    <w:p>
      <w:r>
        <w:t>Der Berater muss bei diesen Templates besonders neutral arbeiten. Marktkenntnis ist wichtig, darf aber nicht zu unbegründeten Präferenzen führen. Die Templates helfen, Marktentscheidungen sachlich zu dokumentieren.</w:t>
      </w:r>
    </w:p>
    <w:p>
      <w:pPr>
        <w:pStyle w:val="Heading2"/>
      </w:pPr>
      <w:r>
        <w:t>10.12 Template für RFI und RFP</w:t>
      </w:r>
    </w:p>
    <w:p>
      <w:r>
        <w:t>RFI- und RFP-Templates strukturieren die Kommunikation mit Anbietern. Der RFI dient der Vorqualifizierung, der RFP der detaillierten Angebotsanforderung. Beide Vorlagen müssen klar, professionell und auswertbar sein.</w:t>
      </w:r>
    </w:p>
    <w:p>
      <w:r>
        <w:t>Ein RFI-Template enthält typischerweise Fragen zu Anbieterprofil, Produktreife, Referenzen, Branchenkompetenz, Architektur, Betriebsmodell, Implementierungskapazität, Support, Roadmap und grober Kostenlogik. Es sollte nicht zu detailliert sein, da es primär der Filterung dient.</w:t>
      </w:r>
    </w:p>
    <w:p>
      <w:r>
        <w:t>Das RFP-Template ist deutlich umfangreicher. Es enthält Einführung, Projektkontext, Zielbild, Scope, Anforderungen, Antwortstruktur, Preisblatt, Zeitplan, Kommunikationsregeln, Demo-Vorgaben, Bewertungshinweise und gegebenenfalls Vertragsgrundlagen. Das RFP muss Anbieter in die Lage versetzen, vergleichbare Angebote abzugeben.</w:t>
      </w:r>
    </w:p>
    <w:p>
      <w:r>
        <w:t>Der Berater sollte RFI und RFP nicht als reine Versanddokumente betrachten. Sie sind die formalisierte Übersetzung der bisherigen Projektarbeit in den Markt. Wenn diese Übersetzung schlecht gelingt, erhält das Projekt schlechte oder unvergleichbare Antworten.</w:t>
      </w:r>
    </w:p>
    <w:p>
      <w:pPr>
        <w:pStyle w:val="Heading2"/>
      </w:pPr>
      <w:r>
        <w:t>10.13 Template für Preisblatt und TCO-Modell</w:t>
      </w:r>
    </w:p>
    <w:p>
      <w:r>
        <w:t>Das Preisblatt ist eines der kritischsten Templates im Ausschreibungsprozess. Ohne ein standardisiertes Preisblatt liefern Anbieter Kosten in unterschiedlichen Strukturen. Der eine Anbieter trennt Lizenz und Implementierung, der andere bündelt Services, der dritte nutzt nutzerbasierte Metriken, der vierte modulbasierte Pakete. Ohne gemeinsame Struktur wird ein wirtschaftlicher Vergleich schwierig.</w:t>
      </w:r>
    </w:p>
    <w:p>
      <w:r>
        <w:t>Das Preisblatt sollte Kostenkategorien vorgeben: Lizenz oder Subscription, Implementierung, Projektmanagement, Customizing, Schnittstellen, Datenmigration, Schulung, Betrieb, Support, Wartung, optionale Module, Reisekosten, externe Services und wiederkehrende Kosten. Für SaaS-Lösungen sollten Laufzeiten, Nutzerklassen, Datenvolumen, Umgebungen und Preissteigerungsmechanismen abgefragt werden.</w:t>
      </w:r>
    </w:p>
    <w:p>
      <w:r>
        <w:t>Das TCO-Modell erweitert das Preisblatt um eine Lebenszyklusbetrachtung. Es betrachtet nicht nur initiale Kosten, sondern Kosten über mehrere Jahre. Dadurch werden Lösungen vergleichbarer, die unterschiedliche Kostenverteilungen besitzen. Eine günstigere Einführung kann durch hohe Betriebskosten langfristig teurer sein. Eine höhere Anfangsinvestition kann durch geringere Folgekosten wirtschaftlich sinnvoll sein.</w:t>
      </w:r>
    </w:p>
    <w:p>
      <w:r>
        <w:t>Der Berater arbeitet hier eng mit Einkauf und Controlling zusammen. Das Template muss fachlich ausreichend detailliert sein, aber für Anbieter ausfüllbar bleiben. Unklare Preislogik sollte als Risiko dokumentiert werden.</w:t>
      </w:r>
    </w:p>
    <w:p>
      <w:pPr>
        <w:pStyle w:val="Heading2"/>
      </w:pPr>
      <w:r>
        <w:t>10.14 Template für Anbieterpräsentation und Demo-Bewertung</w:t>
      </w:r>
    </w:p>
    <w:p>
      <w:r>
        <w:t>Das Template für Anbieterpräsentationen legt fest, wie Anbietertermine vorbereitet, durchgeführt und bewertet werden. Es verhindert, dass Präsentationen zu unstrukturierten Vertriebsterminen werden. Anbieter sollten wissen, welche Themen erwartet werden, welche Szenarien gezeigt werden und welche Bewertungskriterien gelten.</w:t>
      </w:r>
    </w:p>
    <w:p>
      <w:r>
        <w:t>Ein Präsentationsleitfaden enthält Agenda, Zeitblöcke, Rollen, erwartete Inhalte, Demo-Szenarien, Rahmenbedingungen, Fragerunden und Nachweiserwartungen. Ein Bewertungsbogen enthält Kriterien, Skala, Kommentarspalten, offene Punkte und Risikohinweise. Beide Vorlagen gehören zusammen.</w:t>
      </w:r>
    </w:p>
    <w:p>
      <w:r>
        <w:t>Die Bewertung sollte unmittelbar nach der Präsentation erfolgen, solange Eindrücke frisch sind. Gleichzeitig sollten Bewertungen nicht rein emotional sein. Der Bewertungsbogen muss auf Anforderungen und Szenarien verweisen. Dadurch werden Eindrücke fachlich verankert.</w:t>
      </w:r>
    </w:p>
    <w:p>
      <w:r>
        <w:t>Der Berater moderiert die Termine und nutzt die Templates aktiv. Er achtet darauf, dass Anbieter kritische Szenarioteile nicht überspringen und dass Fachbereiche ihre Bewertungen nachvollziehbar begründen.</w:t>
      </w:r>
    </w:p>
    <w:p>
      <w:pPr>
        <w:pStyle w:val="Heading2"/>
      </w:pPr>
      <w:r>
        <w:t>10.15 Template für Gesamtbewertung und Entscheidungsvorlage</w:t>
      </w:r>
    </w:p>
    <w:p>
      <w:r>
        <w:t>Die Gesamtbewertung und Entscheidungsvorlage bilden den Abschluss der Bewertungsphase. Sie verdichten zahlreiche Einzelinformationen zu einer Managemententscheidung. Das Template muss daher eine klare Struktur vorgeben, die fachliche Tiefe und Managementverständlichkeit verbindet.</w:t>
      </w:r>
    </w:p>
    <w:p>
      <w:r>
        <w:t>Eine Entscheidungsvorlage sollte Ausgangssituation, Zielsetzung, Vorgehen, betrachtete Anbieter, Bewertungslogik, Gesamtbewertung, Stärken und Schwächen, Kostenvergleich, Risiken, offene Punkte, Empfehlung und nächste Schritte enthalten. Wichtig ist, dass sie nicht nur Punktzahlen zeigt, sondern diese interpretiert.</w:t>
      </w:r>
    </w:p>
    <w:p>
      <w:r>
        <w:t>Das Template sollte verschiedene Entscheidungssituationen unterstützen. Manchmal gibt es einen klaren Favoriten. Manchmal liegen zwei Anbieter nahe beieinander. Manchmal ist eine Entscheidung nur unter bestimmten Bedingungen sinnvoll, beispielsweise nach erfolgreichem PoC oder Vertragsklärung. Die Vorlage muss solche Differenzierungen ermöglichen.</w:t>
      </w:r>
    </w:p>
    <w:p>
      <w:r>
        <w:t>Der Berater nutzt das Template als Autor der Entscheidungsvorlage. Er schreibt nicht nur Zahlen zusammen, sondern entwickelt eine nachvollziehbare Argumentation. Das Management muss verstehen, warum eine Empfehlung ausgesprochen wird und welche Risiken damit verbunden sind.</w:t>
      </w:r>
    </w:p>
    <w:p>
      <w:pPr>
        <w:pStyle w:val="Heading2"/>
      </w:pPr>
      <w:r>
        <w:t>10.16 Template für Risiko- und Offene-Punkte-Register</w:t>
      </w:r>
    </w:p>
    <w:p>
      <w:r>
        <w:t>Das Risiko- und Offene-Punkte-Register ist ein laufendes Steuerungstemplate. Es sammelt Risiken, Annahmen, Klärungsbedarfe und offene Entscheidungen. Gerade in Auswahlprojekten ist dieses Template wichtig, weil nicht alle Themen sofort gelöst werden können.</w:t>
      </w:r>
    </w:p>
    <w:p>
      <w:r>
        <w:t>Typische Felder sind ID, Kategorie, Beschreibung, Ursache, Auswirkung, Eintrittswahrscheinlichkeit, Bewertung, Maßnahme, Verantwortlicher, Termin, Status und Bezug zu Anbieter, Anforderung oder Phase. Offene Punkte können ähnlich strukturiert werden, benötigen aber nicht immer eine Risikobewertung.</w:t>
      </w:r>
    </w:p>
    <w:p>
      <w:r>
        <w:t>Das Template sollte regelmäßig in Projektstatus und Quality Gates genutzt werden. Ein Register, das nur gepflegt, aber nie besprochen wird, hat wenig Wert. Der Berater muss Risiken aktiv in Entscheidungsvorlagen und Vertragsverhandlungen überführen.</w:t>
      </w:r>
    </w:p>
    <w:p>
      <w:r>
        <w:t>Besonders hilfreich ist die Verknüpfung mit Anbieterbewertung. Wenn ein Anbieter eine Anforderung nur durch Customizing erfüllt, kann daraus ein Risiko entstehen. Wenn ein Preisbestandteil unklar ist, wird dies zum kommerziellen Risiko. Das Template sollte solche Verknüpfungen ermöglichen.</w:t>
      </w:r>
    </w:p>
    <w:p>
      <w:pPr>
        <w:pStyle w:val="Heading2"/>
      </w:pPr>
      <w:r>
        <w:t>10.17 Template für Vertrags- und Implementierungsübergabe</w:t>
      </w:r>
    </w:p>
    <w:p>
      <w:r>
        <w:t>Das Übergabetemplate stellt sicher, dass die Ergebnisse der Auswahlphase nicht verloren gehen. Es beschreibt, welche Unterlagen, Entscheidungen, Anforderungen, Risiken und offenen Punkte in Vertragsverhandlung und Implementierung übergeben werden. Diese Vorlage ist besonders wichtig, weil Auswahl- und Implementierungsteam nicht immer identisch sind.</w:t>
      </w:r>
    </w:p>
    <w:p>
      <w:r>
        <w:t>Ein gutes Übergabetemplate enthält Projektkontext, Zielbild, ausgewählten Anbieter, Begründung der Auswahl, priorisierte Anforderungen, kritische Annahmen, offene Punkte, Risiken, Vertragsanhänge, PoC-Ergebnisse, Implementierungsempfehlungen, Mitwirkungspflichten und Nutzenziele. Es sollte auch beschreiben, welche Themen in der Implementierung besonders überwacht werden müssen.</w:t>
      </w:r>
    </w:p>
    <w:p>
      <w:r>
        <w:t>Die Vorlage schafft Kontinuität. Ohne Übergabedokument beginnt die Implementierung häufig erneut mit Grundsatzdiskussionen. Das führt zu Frustration und Zeitverlust. Mit einem guten Übergabepaket kann das Implementierungsteam auf der Auswahlentscheidung aufbauen.</w:t>
      </w:r>
    </w:p>
    <w:p>
      <w:r>
        <w:t>Der Berater sollte dieses Template bereits während der Auswahl im Blick haben. Jede relevante Erkenntnis, die für die Umsetzung wichtig wird, sollte so dokumentiert werden, dass sie später übergeben werden kann.</w:t>
      </w:r>
    </w:p>
    <w:p>
      <w:pPr>
        <w:pStyle w:val="Heading2"/>
      </w:pPr>
      <w:r>
        <w:t>10.18 Template-Governance und Pflege</w:t>
      </w:r>
    </w:p>
    <w:p>
      <w:r>
        <w:t>Templates selbst benötigen Governance. Wenn Vorlagen in vielen Projekten genutzt werden, müssen sie gepflegt, verbessert und versioniert werden. Sonst entstehen unterschiedliche Varianten, die nicht mehr zusammenpassen. Eine professionelle Beratungsmethodik benötigt daher eine Template-Governance.</w:t>
      </w:r>
    </w:p>
    <w:p>
      <w:r>
        <w:t>Template-Governance beschreibt, wer Templates freigibt, wer Änderungen vornimmt, wie Erfahrungen aus Projekten zurückfließen und welche Version aktuell gilt. Besonders bei einer Methodik wie dem ASF ist dies wichtig, weil Templates später möglicherweise auch in einer digitalen Plattform umgesetzt werden. Änderungen an Templatefeldern können Auswirkungen auf Datenmodelle, Exporte, Auswertungen und Berichte haben.</w:t>
      </w:r>
    </w:p>
    <w:p>
      <w:r>
        <w:t>Nach jedem größeren Projekt sollten Lessons Learned in die Templatepflege einfließen. Welche Felder waren hilfreich? Welche wurden nie genutzt? Wo fehlten Informationen? Welche Bewertungslogik war zu komplex oder zu einfach? Dadurch entwickeln sich Templates kontinuierlich weiter.</w:t>
      </w:r>
    </w:p>
    <w:p>
      <w:r>
        <w:t>Der Berater sollte projektspezifische Anpassungen dokumentieren. Nicht jede Anpassung muss in den Standard zurückfließen. Aber wiederkehrende Anpassungen sind Hinweise darauf, dass das Standardtemplate verbessert werden sollte.</w:t>
      </w:r>
    </w:p>
    <w:p>
      <w:pPr>
        <w:pStyle w:val="Heading2"/>
      </w:pPr>
      <w:r>
        <w:t>10.19 Templates in der digitalen adtender-Plattform</w:t>
      </w:r>
    </w:p>
    <w:p>
      <w:r>
        <w:t>Die langfristige Stärke des ASF liegt darin, dass Templates nicht nur als Office-Dateien, sondern als digitale Arbeitsobjekte gedacht werden können. Eine Capability Map wird zu einer strukturierten Capability-Datenbank. Ein Anforderungskatalog wird zu einem Requirements-Modul. Eine Bewertungsmatrix wird zu einem Scoring-Workflow. Ein Demo-Szenario wird zu einem strukturierten Nachweisobjekt. Ein Risiko wird zu einem steuerbaren Eintrag mit Status, Owner und Maßnahmen.</w:t>
      </w:r>
    </w:p>
    <w:p>
      <w:r>
        <w:t>Diese digitale Übersetzung verändert die Rolle von Templates. Sie werden nicht nur heruntergeladen und ausgefüllt, sondern können in einer Plattform geführt, versioniert, verknüpft und ausgewertet werden. Dadurch entsteht eine höhere Wiederverwendbarkeit. Anforderungen können kopiert, angepasst, priorisiert und mit Anbieterantworten verknüpft werden. Bewertungen können automatisch aggregiert werden. Entscheidungsvorlagen können aus strukturierten Daten erzeugt werden.</w:t>
      </w:r>
    </w:p>
    <w:p>
      <w:r>
        <w:t>Damit dies funktioniert, müssen Templates bereits in der Methodik datenfähig gedacht werden. Felder sollten eindeutig sein, IDs stabil bleiben, Statuswerte definiert sein und Verknüpfungen zwischen Objekten vorgesehen werden. Das Handbuch schafft dafür die fachliche Grundlage.</w:t>
      </w:r>
    </w:p>
    <w:p>
      <w:r>
        <w:t>Der Berater profitiert davon, weil digitale Templates administrative Arbeit reduzieren und Qualität erhöhen. Gleichzeitig bleibt seine fachliche Rolle erhalten. Eine Plattform kann Struktur bereitstellen, aber sie ersetzt nicht die Bewertung, Moderation und Entscheidungsvorbereitung durch erfahrene Berater.</w:t>
      </w:r>
    </w:p>
    <w:tbl>
      <w:tblPr>
        <w:tblStyle w:val="TableGrid"/>
        <w:tblW w:type="auto" w:w="0"/>
        <w:jc w:val="center"/>
        <w:tblLook w:firstColumn="1" w:firstRow="1" w:lastColumn="0" w:lastRow="0" w:noHBand="0" w:noVBand="1" w:val="04A0"/>
      </w:tblPr>
      <w:tblGrid>
        <w:gridCol w:w="3211"/>
        <w:gridCol w:w="3211"/>
        <w:gridCol w:w="3211"/>
      </w:tblGrid>
      <w:tr>
        <w:tc>
          <w:tcPr>
            <w:tcW w:type="dxa" w:w="3211"/>
            <w:vAlign w:val="center"/>
            <w:shd w:fill="1E375A"/>
          </w:tcPr>
          <w:p>
            <w:r>
              <w:rPr>
                <w:b/>
                <w:color w:val="FFFFFF"/>
                <w:sz w:val="16"/>
              </w:rPr>
              <w:t>Template</w:t>
            </w:r>
          </w:p>
        </w:tc>
        <w:tc>
          <w:tcPr>
            <w:tcW w:type="dxa" w:w="3211"/>
            <w:vAlign w:val="center"/>
            <w:shd w:fill="1E375A"/>
          </w:tcPr>
          <w:p>
            <w:r>
              <w:rPr>
                <w:b/>
                <w:color w:val="FFFFFF"/>
                <w:sz w:val="16"/>
              </w:rPr>
              <w:t>Klassische Form</w:t>
            </w:r>
          </w:p>
        </w:tc>
        <w:tc>
          <w:tcPr>
            <w:tcW w:type="dxa" w:w="3211"/>
            <w:vAlign w:val="center"/>
            <w:shd w:fill="1E375A"/>
          </w:tcPr>
          <w:p>
            <w:r>
              <w:rPr>
                <w:b/>
                <w:color w:val="FFFFFF"/>
                <w:sz w:val="16"/>
              </w:rPr>
              <w:t>Digitale Plattformlogik</w:t>
            </w:r>
          </w:p>
        </w:tc>
      </w:tr>
      <w:tr>
        <w:tc>
          <w:tcPr>
            <w:tcW w:type="dxa" w:w="3211"/>
            <w:vAlign w:val="top"/>
          </w:tcPr>
          <w:p>
            <w:r>
              <w:rPr>
                <w:sz w:val="15"/>
              </w:rPr>
              <w:t>Projektauftrag</w:t>
            </w:r>
          </w:p>
        </w:tc>
        <w:tc>
          <w:tcPr>
            <w:tcW w:type="dxa" w:w="3211"/>
            <w:vAlign w:val="top"/>
          </w:tcPr>
          <w:p>
            <w:r>
              <w:rPr>
                <w:sz w:val="15"/>
              </w:rPr>
              <w:t>Word-Dokument</w:t>
            </w:r>
          </w:p>
        </w:tc>
        <w:tc>
          <w:tcPr>
            <w:tcW w:type="dxa" w:w="3211"/>
            <w:vAlign w:val="top"/>
          </w:tcPr>
          <w:p>
            <w:r>
              <w:rPr>
                <w:sz w:val="15"/>
              </w:rPr>
              <w:t>Projektobjekt mit Zielen, Scope, Rollen und Status</w:t>
            </w:r>
          </w:p>
        </w:tc>
      </w:tr>
      <w:tr>
        <w:tc>
          <w:tcPr>
            <w:tcW w:type="dxa" w:w="3211"/>
            <w:vAlign w:val="top"/>
          </w:tcPr>
          <w:p>
            <w:r>
              <w:rPr>
                <w:sz w:val="15"/>
              </w:rPr>
              <w:t>Capability Map</w:t>
            </w:r>
          </w:p>
        </w:tc>
        <w:tc>
          <w:tcPr>
            <w:tcW w:type="dxa" w:w="3211"/>
            <w:vAlign w:val="top"/>
          </w:tcPr>
          <w:p>
            <w:r>
              <w:rPr>
                <w:sz w:val="15"/>
              </w:rPr>
              <w:t>Excel/PowerPoint</w:t>
            </w:r>
          </w:p>
        </w:tc>
        <w:tc>
          <w:tcPr>
            <w:tcW w:type="dxa" w:w="3211"/>
            <w:vAlign w:val="top"/>
          </w:tcPr>
          <w:p>
            <w:r>
              <w:rPr>
                <w:sz w:val="15"/>
              </w:rPr>
              <w:t>Capability-Datenmodell mit Priorität und Reifegrad</w:t>
            </w:r>
          </w:p>
        </w:tc>
      </w:tr>
      <w:tr>
        <w:tc>
          <w:tcPr>
            <w:tcW w:type="dxa" w:w="3211"/>
            <w:vAlign w:val="top"/>
          </w:tcPr>
          <w:p>
            <w:r>
              <w:rPr>
                <w:sz w:val="15"/>
              </w:rPr>
              <w:t>Anforderungskatalog</w:t>
            </w:r>
          </w:p>
        </w:tc>
        <w:tc>
          <w:tcPr>
            <w:tcW w:type="dxa" w:w="3211"/>
            <w:vAlign w:val="top"/>
          </w:tcPr>
          <w:p>
            <w:r>
              <w:rPr>
                <w:sz w:val="15"/>
              </w:rPr>
              <w:t>Excel</w:t>
            </w:r>
          </w:p>
        </w:tc>
        <w:tc>
          <w:tcPr>
            <w:tcW w:type="dxa" w:w="3211"/>
            <w:vAlign w:val="top"/>
          </w:tcPr>
          <w:p>
            <w:r>
              <w:rPr>
                <w:sz w:val="15"/>
              </w:rPr>
              <w:t>Requirement-Datenbank mit Workflow und Anbieterantworten</w:t>
            </w:r>
          </w:p>
        </w:tc>
      </w:tr>
      <w:tr>
        <w:tc>
          <w:tcPr>
            <w:tcW w:type="dxa" w:w="3211"/>
            <w:vAlign w:val="top"/>
          </w:tcPr>
          <w:p>
            <w:r>
              <w:rPr>
                <w:sz w:val="15"/>
              </w:rPr>
              <w:t>RFI/RFP</w:t>
            </w:r>
          </w:p>
        </w:tc>
        <w:tc>
          <w:tcPr>
            <w:tcW w:type="dxa" w:w="3211"/>
            <w:vAlign w:val="top"/>
          </w:tcPr>
          <w:p>
            <w:r>
              <w:rPr>
                <w:sz w:val="15"/>
              </w:rPr>
              <w:t>Word/Excel-Paket</w:t>
            </w:r>
          </w:p>
        </w:tc>
        <w:tc>
          <w:tcPr>
            <w:tcW w:type="dxa" w:w="3211"/>
            <w:vAlign w:val="top"/>
          </w:tcPr>
          <w:p>
            <w:r>
              <w:rPr>
                <w:sz w:val="15"/>
              </w:rPr>
              <w:t>Ausschreibungsworkflow mit Anbieterportal</w:t>
            </w:r>
          </w:p>
        </w:tc>
      </w:tr>
      <w:tr>
        <w:tc>
          <w:tcPr>
            <w:tcW w:type="dxa" w:w="3211"/>
            <w:vAlign w:val="top"/>
          </w:tcPr>
          <w:p>
            <w:r>
              <w:rPr>
                <w:sz w:val="15"/>
              </w:rPr>
              <w:t>Preisblatt</w:t>
            </w:r>
          </w:p>
        </w:tc>
        <w:tc>
          <w:tcPr>
            <w:tcW w:type="dxa" w:w="3211"/>
            <w:vAlign w:val="top"/>
          </w:tcPr>
          <w:p>
            <w:r>
              <w:rPr>
                <w:sz w:val="15"/>
              </w:rPr>
              <w:t>Excel</w:t>
            </w:r>
          </w:p>
        </w:tc>
        <w:tc>
          <w:tcPr>
            <w:tcW w:type="dxa" w:w="3211"/>
            <w:vAlign w:val="top"/>
          </w:tcPr>
          <w:p>
            <w:r>
              <w:rPr>
                <w:sz w:val="15"/>
              </w:rPr>
              <w:t>Kommerzielles Angebotsmodul mit TCO-Auswertung</w:t>
            </w:r>
          </w:p>
        </w:tc>
      </w:tr>
      <w:tr>
        <w:tc>
          <w:tcPr>
            <w:tcW w:type="dxa" w:w="3211"/>
            <w:vAlign w:val="top"/>
          </w:tcPr>
          <w:p>
            <w:r>
              <w:rPr>
                <w:sz w:val="15"/>
              </w:rPr>
              <w:t>Demo-Bewertung</w:t>
            </w:r>
          </w:p>
        </w:tc>
        <w:tc>
          <w:tcPr>
            <w:tcW w:type="dxa" w:w="3211"/>
            <w:vAlign w:val="top"/>
          </w:tcPr>
          <w:p>
            <w:r>
              <w:rPr>
                <w:sz w:val="15"/>
              </w:rPr>
              <w:t>Excel/PDF</w:t>
            </w:r>
          </w:p>
        </w:tc>
        <w:tc>
          <w:tcPr>
            <w:tcW w:type="dxa" w:w="3211"/>
            <w:vAlign w:val="top"/>
          </w:tcPr>
          <w:p>
            <w:r>
              <w:rPr>
                <w:sz w:val="15"/>
              </w:rPr>
              <w:t>Bewertungsworkflow je Szenario und Anbieter</w:t>
            </w:r>
          </w:p>
        </w:tc>
      </w:tr>
      <w:tr>
        <w:tc>
          <w:tcPr>
            <w:tcW w:type="dxa" w:w="3211"/>
            <w:vAlign w:val="top"/>
          </w:tcPr>
          <w:p>
            <w:r>
              <w:rPr>
                <w:sz w:val="15"/>
              </w:rPr>
              <w:t>Entscheidungsvorlage</w:t>
            </w:r>
          </w:p>
        </w:tc>
        <w:tc>
          <w:tcPr>
            <w:tcW w:type="dxa" w:w="3211"/>
            <w:vAlign w:val="top"/>
          </w:tcPr>
          <w:p>
            <w:r>
              <w:rPr>
                <w:sz w:val="15"/>
              </w:rPr>
              <w:t>PowerPoint/Word</w:t>
            </w:r>
          </w:p>
        </w:tc>
        <w:tc>
          <w:tcPr>
            <w:tcW w:type="dxa" w:w="3211"/>
            <w:vAlign w:val="top"/>
          </w:tcPr>
          <w:p>
            <w:r>
              <w:rPr>
                <w:sz w:val="15"/>
              </w:rPr>
              <w:t>Automatisch erzeugter Report aus Bewertungsdaten</w:t>
            </w:r>
          </w:p>
        </w:tc>
      </w:tr>
      <w:tr>
        <w:tc>
          <w:tcPr>
            <w:tcW w:type="dxa" w:w="3211"/>
            <w:vAlign w:val="top"/>
          </w:tcPr>
          <w:p>
            <w:r>
              <w:rPr>
                <w:sz w:val="15"/>
              </w:rPr>
              <w:t>Risikoregister</w:t>
            </w:r>
          </w:p>
        </w:tc>
        <w:tc>
          <w:tcPr>
            <w:tcW w:type="dxa" w:w="3211"/>
            <w:vAlign w:val="top"/>
          </w:tcPr>
          <w:p>
            <w:r>
              <w:rPr>
                <w:sz w:val="15"/>
              </w:rPr>
              <w:t>Excel</w:t>
            </w:r>
          </w:p>
        </w:tc>
        <w:tc>
          <w:tcPr>
            <w:tcW w:type="dxa" w:w="3211"/>
            <w:vAlign w:val="top"/>
          </w:tcPr>
          <w:p>
            <w:r>
              <w:rPr>
                <w:sz w:val="15"/>
              </w:rPr>
              <w:t>Risikomodul mit Status, Owner und Maßnahmen</w:t>
            </w:r>
          </w:p>
        </w:tc>
      </w:tr>
    </w:tbl>
    <w:p/>
    <w:p>
      <w:pPr>
        <w:pStyle w:val="Heading2"/>
      </w:pPr>
      <w:r>
        <w:t>10.20 Typische Fehler im Umgang mit Templates</w:t>
      </w:r>
    </w:p>
    <w:p>
      <w:r>
        <w:t>Ein häufiger Fehler besteht darin, Templates ungeprüft zu verwenden. Eine Vorlage aus einem früheren Projekt wird übernommen, ohne sie an Kontext, Softwarekategorie oder Kundensituation anzupassen. Dadurch können irrelevante Felder, falsche Bewertungslogiken oder unpassende Formulierungen entstehen. Templates müssen immer projektspezifisch geprüft werden.</w:t>
      </w:r>
    </w:p>
    <w:p>
      <w:r>
        <w:t>Ein zweiter Fehler ist die Überladung von Templates. Aus dem Wunsch nach Vollständigkeit werden zu viele Felder aufgenommen. Die Pflege wird aufwendig, Projektbeteiligte verlieren Akzeptanz und Datenqualität sinkt. Ein Template muss pragmatisch bleiben.</w:t>
      </w:r>
    </w:p>
    <w:p>
      <w:r>
        <w:t>Ein dritter Fehler ist die fehlende Verbindung zwischen Templates. Wenn Capability Map, Anforderungen, Bewertung und Entscheidungsvorlage unterschiedliche Strukturen nutzen, geht Traceability verloren. Templates müssen aufeinander abgestimmt sein.</w:t>
      </w:r>
    </w:p>
    <w:p>
      <w:r>
        <w:t>Ein vierter Fehler besteht darin, Templates als Ersatz für Beratung zu verstehen. Ein Formular erzeugt noch keine gute Anforderung. Eine Bewertungsmatrix erzeugt noch keine objektive Entscheidung. Templates unterstützen die Beratungsarbeit, aber sie ersetzen nicht Erfahrung und fachliches Urteil.</w:t>
      </w:r>
    </w:p>
    <w:p>
      <w:r>
        <w:t>Ein fünfter Fehler ist fehlende Pflege. Wenn Templates nicht aktualisiert werden, veralten sie. Neue Projektanforderungen, Marktveränderungen, technologische Entwicklungen und Erfahrungen aus Kundenprojekten müssen regelmäßig einfließen.</w:t>
      </w:r>
    </w:p>
    <w:p>
      <w:pPr>
        <w:pStyle w:val="Heading2"/>
      </w:pPr>
      <w:r>
        <w:t>10.21 Best Practices für den Einsatz von Templates</w:t>
      </w:r>
    </w:p>
    <w:p>
      <w:r>
        <w:t>Eine bewährte Praxis besteht darin, Templates zu Beginn eines Projektes bewusst auszuwählen und anzupassen. Nicht jedes Projekt benötigt alle Vorlagen in voller Tiefe. Der Berater sollte definieren, welche Templates verwendet, welche vereinfacht und welche ergänzt werden.</w:t>
      </w:r>
    </w:p>
    <w:p>
      <w:r>
        <w:t>Eine zweite Best Practice ist die Einführung der Templates im Projektteam. Beteiligte sollten verstehen, warum bestimmte Felder benötigt werden. Wenn Fachbereiche wissen, dass Capability-Bezüge später Bewertung und Demo-Szenarien erleichtern, steigt die Bereitschaft zur sauberen Pflege.</w:t>
      </w:r>
    </w:p>
    <w:p>
      <w:r>
        <w:t>Eine dritte Best Practice ist die Arbeit mit Beispielen. Gerade bei Anforderungen, Capabilities oder Bewertungsskalen helfen Musterformulierungen. Sie zeigen, welche Qualität erwartet wird. Das reduziert Nacharbeit.</w:t>
      </w:r>
    </w:p>
    <w:p>
      <w:r>
        <w:t>Eine vierte Best Practice ist die schrittweise Befüllung. Nicht alle Felder müssen sofort vollständig sein. Anforderungen können zunächst aufgenommen, später priorisiert und anschließend mit Akzeptanzkriterien ergänzt werden. Wichtig ist, dass der Status erkennbar bleibt.</w:t>
      </w:r>
    </w:p>
    <w:p>
      <w:r>
        <w:t>Eine fünfte Best Practice ist die regelmäßige Qualitätssicherung. Der Berater sollte Templates nicht nur sammeln, sondern prüfen: Sind Felder vollständig? Sind Formulierungen eindeutig? Sind Prioritäten plausibel? Sind Verknüpfungen gepflegt? Dadurch bleibt die Methodik wirksam.</w:t>
      </w:r>
    </w:p>
    <w:p>
      <w:r>
        <w:t>Eine sechste Best Practice ist die Dokumentation projektspezifischer Anpassungen. Wenn ein Template verändert wird, sollte klar sein, warum. Diese Erfahrung kann später in die Weiterentwicklung des ASF einfließen.</w:t>
      </w:r>
    </w:p>
    <w:p>
      <w:pPr>
        <w:pStyle w:val="Heading2"/>
      </w:pPr>
      <w:r>
        <w:t>10.22 Empfohlene Template-Bibliothek für Teil C</w:t>
      </w:r>
    </w:p>
    <w:p>
      <w:r>
        <w:t>Teil C des Handbuchs wird die wichtigsten Templates des ASF als konkrete Arbeitsvorlagen enthalten. Die folgende Übersicht beschreibt die empfohlene Template-Bibliothek. Sie dient zugleich als Arbeitsplan für die weitere Ausarbeitung des Handbuchs.</w:t>
      </w:r>
    </w:p>
    <w:tbl>
      <w:tblPr>
        <w:tblStyle w:val="TableGrid"/>
        <w:tblW w:type="auto" w:w="0"/>
        <w:jc w:val="center"/>
        <w:tblLook w:firstColumn="1" w:firstRow="1" w:lastColumn="0" w:lastRow="0" w:noHBand="0" w:noVBand="1" w:val="04A0"/>
      </w:tblPr>
      <w:tblGrid>
        <w:gridCol w:w="3211"/>
        <w:gridCol w:w="3211"/>
        <w:gridCol w:w="3211"/>
      </w:tblGrid>
      <w:tr>
        <w:tc>
          <w:tcPr>
            <w:tcW w:type="dxa" w:w="3211"/>
            <w:vAlign w:val="center"/>
            <w:shd w:fill="1E375A"/>
          </w:tcPr>
          <w:p>
            <w:r>
              <w:rPr>
                <w:b/>
                <w:color w:val="FFFFFF"/>
                <w:sz w:val="16"/>
              </w:rPr>
              <w:t>ID</w:t>
            </w:r>
          </w:p>
        </w:tc>
        <w:tc>
          <w:tcPr>
            <w:tcW w:type="dxa" w:w="3211"/>
            <w:vAlign w:val="center"/>
            <w:shd w:fill="1E375A"/>
          </w:tcPr>
          <w:p>
            <w:r>
              <w:rPr>
                <w:b/>
                <w:color w:val="FFFFFF"/>
                <w:sz w:val="16"/>
              </w:rPr>
              <w:t>Template</w:t>
            </w:r>
          </w:p>
        </w:tc>
        <w:tc>
          <w:tcPr>
            <w:tcW w:type="dxa" w:w="3211"/>
            <w:vAlign w:val="center"/>
            <w:shd w:fill="1E375A"/>
          </w:tcPr>
          <w:p>
            <w:r>
              <w:rPr>
                <w:b/>
                <w:color w:val="FFFFFF"/>
                <w:sz w:val="16"/>
              </w:rPr>
              <w:t>Zweck</w:t>
            </w:r>
          </w:p>
        </w:tc>
      </w:tr>
      <w:tr>
        <w:tc>
          <w:tcPr>
            <w:tcW w:type="dxa" w:w="3211"/>
            <w:vAlign w:val="top"/>
          </w:tcPr>
          <w:p>
            <w:r>
              <w:rPr>
                <w:sz w:val="15"/>
              </w:rPr>
              <w:t>T01</w:t>
            </w:r>
          </w:p>
        </w:tc>
        <w:tc>
          <w:tcPr>
            <w:tcW w:type="dxa" w:w="3211"/>
            <w:vAlign w:val="top"/>
          </w:tcPr>
          <w:p>
            <w:r>
              <w:rPr>
                <w:sz w:val="15"/>
              </w:rPr>
              <w:t>Projektauftrag</w:t>
            </w:r>
          </w:p>
        </w:tc>
        <w:tc>
          <w:tcPr>
            <w:tcW w:type="dxa" w:w="3211"/>
            <w:vAlign w:val="top"/>
          </w:tcPr>
          <w:p>
            <w:r>
              <w:rPr>
                <w:sz w:val="15"/>
              </w:rPr>
              <w:t>Auftrag, Ziele, Scope, Governance und Projektstruktur definieren</w:t>
            </w:r>
          </w:p>
        </w:tc>
      </w:tr>
      <w:tr>
        <w:tc>
          <w:tcPr>
            <w:tcW w:type="dxa" w:w="3211"/>
            <w:vAlign w:val="top"/>
          </w:tcPr>
          <w:p>
            <w:r>
              <w:rPr>
                <w:sz w:val="15"/>
              </w:rPr>
              <w:t>T02</w:t>
            </w:r>
          </w:p>
        </w:tc>
        <w:tc>
          <w:tcPr>
            <w:tcW w:type="dxa" w:w="3211"/>
            <w:vAlign w:val="top"/>
          </w:tcPr>
          <w:p>
            <w:r>
              <w:rPr>
                <w:sz w:val="15"/>
              </w:rPr>
              <w:t>Stakeholderanalyse</w:t>
            </w:r>
          </w:p>
        </w:tc>
        <w:tc>
          <w:tcPr>
            <w:tcW w:type="dxa" w:w="3211"/>
            <w:vAlign w:val="top"/>
          </w:tcPr>
          <w:p>
            <w:r>
              <w:rPr>
                <w:sz w:val="15"/>
              </w:rPr>
              <w:t>Betroffene Rollen, Einfluss, Betroffenheit und Einbindung erfassen</w:t>
            </w:r>
          </w:p>
        </w:tc>
      </w:tr>
      <w:tr>
        <w:tc>
          <w:tcPr>
            <w:tcW w:type="dxa" w:w="3211"/>
            <w:vAlign w:val="top"/>
          </w:tcPr>
          <w:p>
            <w:r>
              <w:rPr>
                <w:sz w:val="15"/>
              </w:rPr>
              <w:t>T03</w:t>
            </w:r>
          </w:p>
        </w:tc>
        <w:tc>
          <w:tcPr>
            <w:tcW w:type="dxa" w:w="3211"/>
            <w:vAlign w:val="top"/>
          </w:tcPr>
          <w:p>
            <w:r>
              <w:rPr>
                <w:sz w:val="15"/>
              </w:rPr>
              <w:t>Kommunikationsplan</w:t>
            </w:r>
          </w:p>
        </w:tc>
        <w:tc>
          <w:tcPr>
            <w:tcW w:type="dxa" w:w="3211"/>
            <w:vAlign w:val="top"/>
          </w:tcPr>
          <w:p>
            <w:r>
              <w:rPr>
                <w:sz w:val="15"/>
              </w:rPr>
              <w:t>Kommunikationsformate, Zielgruppen und Botschaften steuern</w:t>
            </w:r>
          </w:p>
        </w:tc>
      </w:tr>
      <w:tr>
        <w:tc>
          <w:tcPr>
            <w:tcW w:type="dxa" w:w="3211"/>
            <w:vAlign w:val="top"/>
          </w:tcPr>
          <w:p>
            <w:r>
              <w:rPr>
                <w:sz w:val="15"/>
              </w:rPr>
              <w:t>T04</w:t>
            </w:r>
          </w:p>
        </w:tc>
        <w:tc>
          <w:tcPr>
            <w:tcW w:type="dxa" w:w="3211"/>
            <w:vAlign w:val="top"/>
          </w:tcPr>
          <w:p>
            <w:r>
              <w:rPr>
                <w:sz w:val="15"/>
              </w:rPr>
              <w:t>Strategische Leitplanken</w:t>
            </w:r>
          </w:p>
        </w:tc>
        <w:tc>
          <w:tcPr>
            <w:tcW w:type="dxa" w:w="3211"/>
            <w:vAlign w:val="top"/>
          </w:tcPr>
          <w:p>
            <w:r>
              <w:rPr>
                <w:sz w:val="15"/>
              </w:rPr>
              <w:t>Zielbild, Nicht-Ziele und Auswahlprinzipien dokumentieren</w:t>
            </w:r>
          </w:p>
        </w:tc>
      </w:tr>
      <w:tr>
        <w:tc>
          <w:tcPr>
            <w:tcW w:type="dxa" w:w="3211"/>
            <w:vAlign w:val="top"/>
          </w:tcPr>
          <w:p>
            <w:r>
              <w:rPr>
                <w:sz w:val="15"/>
              </w:rPr>
              <w:t>T05</w:t>
            </w:r>
          </w:p>
        </w:tc>
        <w:tc>
          <w:tcPr>
            <w:tcW w:type="dxa" w:w="3211"/>
            <w:vAlign w:val="top"/>
          </w:tcPr>
          <w:p>
            <w:r>
              <w:rPr>
                <w:sz w:val="15"/>
              </w:rPr>
              <w:t>Ist-Analyse</w:t>
            </w:r>
          </w:p>
        </w:tc>
        <w:tc>
          <w:tcPr>
            <w:tcW w:type="dxa" w:w="3211"/>
            <w:vAlign w:val="top"/>
          </w:tcPr>
          <w:p>
            <w:r>
              <w:rPr>
                <w:sz w:val="15"/>
              </w:rPr>
              <w:t>Systeme, Prozesse, Datenflüsse und Schwachstellen erfassen</w:t>
            </w:r>
          </w:p>
        </w:tc>
      </w:tr>
      <w:tr>
        <w:tc>
          <w:tcPr>
            <w:tcW w:type="dxa" w:w="3211"/>
            <w:vAlign w:val="top"/>
          </w:tcPr>
          <w:p>
            <w:r>
              <w:rPr>
                <w:sz w:val="15"/>
              </w:rPr>
              <w:t>T06</w:t>
            </w:r>
          </w:p>
        </w:tc>
        <w:tc>
          <w:tcPr>
            <w:tcW w:type="dxa" w:w="3211"/>
            <w:vAlign w:val="top"/>
          </w:tcPr>
          <w:p>
            <w:r>
              <w:rPr>
                <w:sz w:val="15"/>
              </w:rPr>
              <w:t>Capability Map</w:t>
            </w:r>
          </w:p>
        </w:tc>
        <w:tc>
          <w:tcPr>
            <w:tcW w:type="dxa" w:w="3211"/>
            <w:vAlign w:val="top"/>
          </w:tcPr>
          <w:p>
            <w:r>
              <w:rPr>
                <w:sz w:val="15"/>
              </w:rPr>
              <w:t>Geschäftliche Fähigkeiten strukturieren und priorisieren</w:t>
            </w:r>
          </w:p>
        </w:tc>
      </w:tr>
      <w:tr>
        <w:tc>
          <w:tcPr>
            <w:tcW w:type="dxa" w:w="3211"/>
            <w:vAlign w:val="top"/>
          </w:tcPr>
          <w:p>
            <w:r>
              <w:rPr>
                <w:sz w:val="15"/>
              </w:rPr>
              <w:t>T07</w:t>
            </w:r>
          </w:p>
        </w:tc>
        <w:tc>
          <w:tcPr>
            <w:tcW w:type="dxa" w:w="3211"/>
            <w:vAlign w:val="top"/>
          </w:tcPr>
          <w:p>
            <w:r>
              <w:rPr>
                <w:sz w:val="15"/>
              </w:rPr>
              <w:t>Sollprozessbeschreibung</w:t>
            </w:r>
          </w:p>
        </w:tc>
        <w:tc>
          <w:tcPr>
            <w:tcW w:type="dxa" w:w="3211"/>
            <w:vAlign w:val="top"/>
          </w:tcPr>
          <w:p>
            <w:r>
              <w:rPr>
                <w:sz w:val="15"/>
              </w:rPr>
              <w:t>Zukünftige Arbeitsweisen und Prozesslogik beschreiben</w:t>
            </w:r>
          </w:p>
        </w:tc>
      </w:tr>
      <w:tr>
        <w:tc>
          <w:tcPr>
            <w:tcW w:type="dxa" w:w="3211"/>
            <w:vAlign w:val="top"/>
          </w:tcPr>
          <w:p>
            <w:r>
              <w:rPr>
                <w:sz w:val="15"/>
              </w:rPr>
              <w:t>T08</w:t>
            </w:r>
          </w:p>
        </w:tc>
        <w:tc>
          <w:tcPr>
            <w:tcW w:type="dxa" w:w="3211"/>
            <w:vAlign w:val="top"/>
          </w:tcPr>
          <w:p>
            <w:r>
              <w:rPr>
                <w:sz w:val="15"/>
              </w:rPr>
              <w:t>Funktionaler Anforderungskatalog</w:t>
            </w:r>
          </w:p>
        </w:tc>
        <w:tc>
          <w:tcPr>
            <w:tcW w:type="dxa" w:w="3211"/>
            <w:vAlign w:val="top"/>
          </w:tcPr>
          <w:p>
            <w:r>
              <w:rPr>
                <w:sz w:val="15"/>
              </w:rPr>
              <w:t>Fachliche Anforderungen lösungsneutral erfassen</w:t>
            </w:r>
          </w:p>
        </w:tc>
      </w:tr>
      <w:tr>
        <w:tc>
          <w:tcPr>
            <w:tcW w:type="dxa" w:w="3211"/>
            <w:vAlign w:val="top"/>
          </w:tcPr>
          <w:p>
            <w:r>
              <w:rPr>
                <w:sz w:val="15"/>
              </w:rPr>
              <w:t>T09</w:t>
            </w:r>
          </w:p>
        </w:tc>
        <w:tc>
          <w:tcPr>
            <w:tcW w:type="dxa" w:w="3211"/>
            <w:vAlign w:val="top"/>
          </w:tcPr>
          <w:p>
            <w:r>
              <w:rPr>
                <w:sz w:val="15"/>
              </w:rPr>
              <w:t>Nicht-funktionaler Anforderungskatalog</w:t>
            </w:r>
          </w:p>
        </w:tc>
        <w:tc>
          <w:tcPr>
            <w:tcW w:type="dxa" w:w="3211"/>
            <w:vAlign w:val="top"/>
          </w:tcPr>
          <w:p>
            <w:r>
              <w:rPr>
                <w:sz w:val="15"/>
              </w:rPr>
              <w:t>Architektur, Betrieb, Security und Compliance strukturieren</w:t>
            </w:r>
          </w:p>
        </w:tc>
      </w:tr>
      <w:tr>
        <w:tc>
          <w:tcPr>
            <w:tcW w:type="dxa" w:w="3211"/>
            <w:vAlign w:val="top"/>
          </w:tcPr>
          <w:p>
            <w:r>
              <w:rPr>
                <w:sz w:val="15"/>
              </w:rPr>
              <w:t>T10</w:t>
            </w:r>
          </w:p>
        </w:tc>
        <w:tc>
          <w:tcPr>
            <w:tcW w:type="dxa" w:w="3211"/>
            <w:vAlign w:val="top"/>
          </w:tcPr>
          <w:p>
            <w:r>
              <w:rPr>
                <w:sz w:val="15"/>
              </w:rPr>
              <w:t>Bewertungsmethodik</w:t>
            </w:r>
          </w:p>
        </w:tc>
        <w:tc>
          <w:tcPr>
            <w:tcW w:type="dxa" w:w="3211"/>
            <w:vAlign w:val="top"/>
          </w:tcPr>
          <w:p>
            <w:r>
              <w:rPr>
                <w:sz w:val="15"/>
              </w:rPr>
              <w:t>Kriterien, Gewichtungen und Scoringlogik definieren</w:t>
            </w:r>
          </w:p>
        </w:tc>
      </w:tr>
      <w:tr>
        <w:tc>
          <w:tcPr>
            <w:tcW w:type="dxa" w:w="3211"/>
            <w:vAlign w:val="top"/>
          </w:tcPr>
          <w:p>
            <w:r>
              <w:rPr>
                <w:sz w:val="15"/>
              </w:rPr>
              <w:t>T11</w:t>
            </w:r>
          </w:p>
        </w:tc>
        <w:tc>
          <w:tcPr>
            <w:tcW w:type="dxa" w:w="3211"/>
            <w:vAlign w:val="top"/>
          </w:tcPr>
          <w:p>
            <w:r>
              <w:rPr>
                <w:sz w:val="15"/>
              </w:rPr>
              <w:t>Lastenheft</w:t>
            </w:r>
          </w:p>
        </w:tc>
        <w:tc>
          <w:tcPr>
            <w:tcW w:type="dxa" w:w="3211"/>
            <w:vAlign w:val="top"/>
          </w:tcPr>
          <w:p>
            <w:r>
              <w:rPr>
                <w:sz w:val="15"/>
              </w:rPr>
              <w:t>Ausschreibungsfähigen Bedarf des Kunden beschreiben</w:t>
            </w:r>
          </w:p>
        </w:tc>
      </w:tr>
      <w:tr>
        <w:tc>
          <w:tcPr>
            <w:tcW w:type="dxa" w:w="3211"/>
            <w:vAlign w:val="top"/>
          </w:tcPr>
          <w:p>
            <w:r>
              <w:rPr>
                <w:sz w:val="15"/>
              </w:rPr>
              <w:t>T12</w:t>
            </w:r>
          </w:p>
        </w:tc>
        <w:tc>
          <w:tcPr>
            <w:tcW w:type="dxa" w:w="3211"/>
            <w:vAlign w:val="top"/>
          </w:tcPr>
          <w:p>
            <w:r>
              <w:rPr>
                <w:sz w:val="15"/>
              </w:rPr>
              <w:t>Longlist/Shortlist</w:t>
            </w:r>
          </w:p>
        </w:tc>
        <w:tc>
          <w:tcPr>
            <w:tcW w:type="dxa" w:w="3211"/>
            <w:vAlign w:val="top"/>
          </w:tcPr>
          <w:p>
            <w:r>
              <w:rPr>
                <w:sz w:val="15"/>
              </w:rPr>
              <w:t>Marktauswahl und Anbieterfilterung dokumentieren</w:t>
            </w:r>
          </w:p>
        </w:tc>
      </w:tr>
      <w:tr>
        <w:tc>
          <w:tcPr>
            <w:tcW w:type="dxa" w:w="3211"/>
            <w:vAlign w:val="top"/>
          </w:tcPr>
          <w:p>
            <w:r>
              <w:rPr>
                <w:sz w:val="15"/>
              </w:rPr>
              <w:t>T13</w:t>
            </w:r>
          </w:p>
        </w:tc>
        <w:tc>
          <w:tcPr>
            <w:tcW w:type="dxa" w:w="3211"/>
            <w:vAlign w:val="top"/>
          </w:tcPr>
          <w:p>
            <w:r>
              <w:rPr>
                <w:sz w:val="15"/>
              </w:rPr>
              <w:t>RFI</w:t>
            </w:r>
          </w:p>
        </w:tc>
        <w:tc>
          <w:tcPr>
            <w:tcW w:type="dxa" w:w="3211"/>
            <w:vAlign w:val="top"/>
          </w:tcPr>
          <w:p>
            <w:r>
              <w:rPr>
                <w:sz w:val="15"/>
              </w:rPr>
              <w:t>Vorqualifizierung der Anbieter durchführen</w:t>
            </w:r>
          </w:p>
        </w:tc>
      </w:tr>
      <w:tr>
        <w:tc>
          <w:tcPr>
            <w:tcW w:type="dxa" w:w="3211"/>
            <w:vAlign w:val="top"/>
          </w:tcPr>
          <w:p>
            <w:r>
              <w:rPr>
                <w:sz w:val="15"/>
              </w:rPr>
              <w:t>T14</w:t>
            </w:r>
          </w:p>
        </w:tc>
        <w:tc>
          <w:tcPr>
            <w:tcW w:type="dxa" w:w="3211"/>
            <w:vAlign w:val="top"/>
          </w:tcPr>
          <w:p>
            <w:r>
              <w:rPr>
                <w:sz w:val="15"/>
              </w:rPr>
              <w:t>RFP</w:t>
            </w:r>
          </w:p>
        </w:tc>
        <w:tc>
          <w:tcPr>
            <w:tcW w:type="dxa" w:w="3211"/>
            <w:vAlign w:val="top"/>
          </w:tcPr>
          <w:p>
            <w:r>
              <w:rPr>
                <w:sz w:val="15"/>
              </w:rPr>
              <w:t>Detaillierte Angebotsaufforderung strukturieren</w:t>
            </w:r>
          </w:p>
        </w:tc>
      </w:tr>
      <w:tr>
        <w:tc>
          <w:tcPr>
            <w:tcW w:type="dxa" w:w="3211"/>
            <w:vAlign w:val="top"/>
          </w:tcPr>
          <w:p>
            <w:r>
              <w:rPr>
                <w:sz w:val="15"/>
              </w:rPr>
              <w:t>T15</w:t>
            </w:r>
          </w:p>
        </w:tc>
        <w:tc>
          <w:tcPr>
            <w:tcW w:type="dxa" w:w="3211"/>
            <w:vAlign w:val="top"/>
          </w:tcPr>
          <w:p>
            <w:r>
              <w:rPr>
                <w:sz w:val="15"/>
              </w:rPr>
              <w:t>Preisblatt/TCO</w:t>
            </w:r>
          </w:p>
        </w:tc>
        <w:tc>
          <w:tcPr>
            <w:tcW w:type="dxa" w:w="3211"/>
            <w:vAlign w:val="top"/>
          </w:tcPr>
          <w:p>
            <w:r>
              <w:rPr>
                <w:sz w:val="15"/>
              </w:rPr>
              <w:t>Kosten vergleichbar erfassen und über Lebenszyklus bewerten</w:t>
            </w:r>
          </w:p>
        </w:tc>
      </w:tr>
      <w:tr>
        <w:tc>
          <w:tcPr>
            <w:tcW w:type="dxa" w:w="3211"/>
            <w:vAlign w:val="top"/>
          </w:tcPr>
          <w:p>
            <w:r>
              <w:rPr>
                <w:sz w:val="15"/>
              </w:rPr>
              <w:t>T16</w:t>
            </w:r>
          </w:p>
        </w:tc>
        <w:tc>
          <w:tcPr>
            <w:tcW w:type="dxa" w:w="3211"/>
            <w:vAlign w:val="top"/>
          </w:tcPr>
          <w:p>
            <w:r>
              <w:rPr>
                <w:sz w:val="15"/>
              </w:rPr>
              <w:t>Fragen-Antworten-Log</w:t>
            </w:r>
          </w:p>
        </w:tc>
        <w:tc>
          <w:tcPr>
            <w:tcW w:type="dxa" w:w="3211"/>
            <w:vAlign w:val="top"/>
          </w:tcPr>
          <w:p>
            <w:r>
              <w:rPr>
                <w:sz w:val="15"/>
              </w:rPr>
              <w:t>Bieterkommunikation kontrolliert dokumentieren</w:t>
            </w:r>
          </w:p>
        </w:tc>
      </w:tr>
      <w:tr>
        <w:tc>
          <w:tcPr>
            <w:tcW w:type="dxa" w:w="3211"/>
            <w:vAlign w:val="top"/>
          </w:tcPr>
          <w:p>
            <w:r>
              <w:rPr>
                <w:sz w:val="15"/>
              </w:rPr>
              <w:t>T17</w:t>
            </w:r>
          </w:p>
        </w:tc>
        <w:tc>
          <w:tcPr>
            <w:tcW w:type="dxa" w:w="3211"/>
            <w:vAlign w:val="top"/>
          </w:tcPr>
          <w:p>
            <w:r>
              <w:rPr>
                <w:sz w:val="15"/>
              </w:rPr>
              <w:t>Demo-Szenario</w:t>
            </w:r>
          </w:p>
        </w:tc>
        <w:tc>
          <w:tcPr>
            <w:tcW w:type="dxa" w:w="3211"/>
            <w:vAlign w:val="top"/>
          </w:tcPr>
          <w:p>
            <w:r>
              <w:rPr>
                <w:sz w:val="15"/>
              </w:rPr>
              <w:t>Anbieterpräsentationen entlang relevanter Prozesse steuern</w:t>
            </w:r>
          </w:p>
        </w:tc>
      </w:tr>
      <w:tr>
        <w:tc>
          <w:tcPr>
            <w:tcW w:type="dxa" w:w="3211"/>
            <w:vAlign w:val="top"/>
          </w:tcPr>
          <w:p>
            <w:r>
              <w:rPr>
                <w:sz w:val="15"/>
              </w:rPr>
              <w:t>T18</w:t>
            </w:r>
          </w:p>
        </w:tc>
        <w:tc>
          <w:tcPr>
            <w:tcW w:type="dxa" w:w="3211"/>
            <w:vAlign w:val="top"/>
          </w:tcPr>
          <w:p>
            <w:r>
              <w:rPr>
                <w:sz w:val="15"/>
              </w:rPr>
              <w:t>Demo-Bewertung</w:t>
            </w:r>
          </w:p>
        </w:tc>
        <w:tc>
          <w:tcPr>
            <w:tcW w:type="dxa" w:w="3211"/>
            <w:vAlign w:val="top"/>
          </w:tcPr>
          <w:p>
            <w:r>
              <w:rPr>
                <w:sz w:val="15"/>
              </w:rPr>
              <w:t>Präsentationseindrücke strukturiert erfassen</w:t>
            </w:r>
          </w:p>
        </w:tc>
      </w:tr>
      <w:tr>
        <w:tc>
          <w:tcPr>
            <w:tcW w:type="dxa" w:w="3211"/>
            <w:vAlign w:val="top"/>
          </w:tcPr>
          <w:p>
            <w:r>
              <w:rPr>
                <w:sz w:val="15"/>
              </w:rPr>
              <w:t>T19</w:t>
            </w:r>
          </w:p>
        </w:tc>
        <w:tc>
          <w:tcPr>
            <w:tcW w:type="dxa" w:w="3211"/>
            <w:vAlign w:val="top"/>
          </w:tcPr>
          <w:p>
            <w:r>
              <w:rPr>
                <w:sz w:val="15"/>
              </w:rPr>
              <w:t>Gesamtbewertung</w:t>
            </w:r>
          </w:p>
        </w:tc>
        <w:tc>
          <w:tcPr>
            <w:tcW w:type="dxa" w:w="3211"/>
            <w:vAlign w:val="top"/>
          </w:tcPr>
          <w:p>
            <w:r>
              <w:rPr>
                <w:sz w:val="15"/>
              </w:rPr>
              <w:t>Anbieter fachlich, technisch, wirtschaftlich und strategisch vergleichen</w:t>
            </w:r>
          </w:p>
        </w:tc>
      </w:tr>
      <w:tr>
        <w:tc>
          <w:tcPr>
            <w:tcW w:type="dxa" w:w="3211"/>
            <w:vAlign w:val="top"/>
          </w:tcPr>
          <w:p>
            <w:r>
              <w:rPr>
                <w:sz w:val="15"/>
              </w:rPr>
              <w:t>T20</w:t>
            </w:r>
          </w:p>
        </w:tc>
        <w:tc>
          <w:tcPr>
            <w:tcW w:type="dxa" w:w="3211"/>
            <w:vAlign w:val="top"/>
          </w:tcPr>
          <w:p>
            <w:r>
              <w:rPr>
                <w:sz w:val="15"/>
              </w:rPr>
              <w:t>Entscheidungsvorlage</w:t>
            </w:r>
          </w:p>
        </w:tc>
        <w:tc>
          <w:tcPr>
            <w:tcW w:type="dxa" w:w="3211"/>
            <w:vAlign w:val="top"/>
          </w:tcPr>
          <w:p>
            <w:r>
              <w:rPr>
                <w:sz w:val="15"/>
              </w:rPr>
              <w:t>Managemententscheidung vorbereiten</w:t>
            </w:r>
          </w:p>
        </w:tc>
      </w:tr>
      <w:tr>
        <w:tc>
          <w:tcPr>
            <w:tcW w:type="dxa" w:w="3211"/>
            <w:vAlign w:val="top"/>
          </w:tcPr>
          <w:p>
            <w:r>
              <w:rPr>
                <w:sz w:val="15"/>
              </w:rPr>
              <w:t>T21</w:t>
            </w:r>
          </w:p>
        </w:tc>
        <w:tc>
          <w:tcPr>
            <w:tcW w:type="dxa" w:w="3211"/>
            <w:vAlign w:val="top"/>
          </w:tcPr>
          <w:p>
            <w:r>
              <w:rPr>
                <w:sz w:val="15"/>
              </w:rPr>
              <w:t>Risikoregister</w:t>
            </w:r>
          </w:p>
        </w:tc>
        <w:tc>
          <w:tcPr>
            <w:tcW w:type="dxa" w:w="3211"/>
            <w:vAlign w:val="top"/>
          </w:tcPr>
          <w:p>
            <w:r>
              <w:rPr>
                <w:sz w:val="15"/>
              </w:rPr>
              <w:t>Risiken, offene Punkte und Maßnahmen verfolgen</w:t>
            </w:r>
          </w:p>
        </w:tc>
      </w:tr>
      <w:tr>
        <w:tc>
          <w:tcPr>
            <w:tcW w:type="dxa" w:w="3211"/>
            <w:vAlign w:val="top"/>
          </w:tcPr>
          <w:p>
            <w:r>
              <w:rPr>
                <w:sz w:val="15"/>
              </w:rPr>
              <w:t>T22</w:t>
            </w:r>
          </w:p>
        </w:tc>
        <w:tc>
          <w:tcPr>
            <w:tcW w:type="dxa" w:w="3211"/>
            <w:vAlign w:val="top"/>
          </w:tcPr>
          <w:p>
            <w:r>
              <w:rPr>
                <w:sz w:val="15"/>
              </w:rPr>
              <w:t>PoC-Plan</w:t>
            </w:r>
          </w:p>
        </w:tc>
        <w:tc>
          <w:tcPr>
            <w:tcW w:type="dxa" w:w="3211"/>
            <w:vAlign w:val="top"/>
          </w:tcPr>
          <w:p>
            <w:r>
              <w:rPr>
                <w:sz w:val="15"/>
              </w:rPr>
              <w:t>Proof of Concept mit Zielen und Erfolgskriterien strukturieren</w:t>
            </w:r>
          </w:p>
        </w:tc>
      </w:tr>
      <w:tr>
        <w:tc>
          <w:tcPr>
            <w:tcW w:type="dxa" w:w="3211"/>
            <w:vAlign w:val="top"/>
          </w:tcPr>
          <w:p>
            <w:r>
              <w:rPr>
                <w:sz w:val="15"/>
              </w:rPr>
              <w:t>T23</w:t>
            </w:r>
          </w:p>
        </w:tc>
        <w:tc>
          <w:tcPr>
            <w:tcW w:type="dxa" w:w="3211"/>
            <w:vAlign w:val="top"/>
          </w:tcPr>
          <w:p>
            <w:r>
              <w:rPr>
                <w:sz w:val="15"/>
              </w:rPr>
              <w:t>Vertragsübergabe</w:t>
            </w:r>
          </w:p>
        </w:tc>
        <w:tc>
          <w:tcPr>
            <w:tcW w:type="dxa" w:w="3211"/>
            <w:vAlign w:val="top"/>
          </w:tcPr>
          <w:p>
            <w:r>
              <w:rPr>
                <w:sz w:val="15"/>
              </w:rPr>
              <w:t>Auswahlentscheidungen in Vertragsgrundlagen überführen</w:t>
            </w:r>
          </w:p>
        </w:tc>
      </w:tr>
      <w:tr>
        <w:tc>
          <w:tcPr>
            <w:tcW w:type="dxa" w:w="3211"/>
            <w:vAlign w:val="top"/>
          </w:tcPr>
          <w:p>
            <w:r>
              <w:rPr>
                <w:sz w:val="15"/>
              </w:rPr>
              <w:t>T24</w:t>
            </w:r>
          </w:p>
        </w:tc>
        <w:tc>
          <w:tcPr>
            <w:tcW w:type="dxa" w:w="3211"/>
            <w:vAlign w:val="top"/>
          </w:tcPr>
          <w:p>
            <w:r>
              <w:rPr>
                <w:sz w:val="15"/>
              </w:rPr>
              <w:t>Implementierungsübergabe</w:t>
            </w:r>
          </w:p>
        </w:tc>
        <w:tc>
          <w:tcPr>
            <w:tcW w:type="dxa" w:w="3211"/>
            <w:vAlign w:val="top"/>
          </w:tcPr>
          <w:p>
            <w:r>
              <w:rPr>
                <w:sz w:val="15"/>
              </w:rPr>
              <w:t>Wissen aus der Auswahlphase an Umsetzung übergeben</w:t>
            </w:r>
          </w:p>
        </w:tc>
      </w:tr>
      <w:tr>
        <w:tc>
          <w:tcPr>
            <w:tcW w:type="dxa" w:w="3211"/>
            <w:vAlign w:val="top"/>
          </w:tcPr>
          <w:p>
            <w:r>
              <w:rPr>
                <w:sz w:val="15"/>
              </w:rPr>
              <w:t>T25</w:t>
            </w:r>
          </w:p>
        </w:tc>
        <w:tc>
          <w:tcPr>
            <w:tcW w:type="dxa" w:w="3211"/>
            <w:vAlign w:val="top"/>
          </w:tcPr>
          <w:p>
            <w:r>
              <w:rPr>
                <w:sz w:val="15"/>
              </w:rPr>
              <w:t>Lessons Learned</w:t>
            </w:r>
          </w:p>
        </w:tc>
        <w:tc>
          <w:tcPr>
            <w:tcW w:type="dxa" w:w="3211"/>
            <w:vAlign w:val="top"/>
          </w:tcPr>
          <w:p>
            <w:r>
              <w:rPr>
                <w:sz w:val="15"/>
              </w:rPr>
              <w:t>Erfahrungen sichern und Template-Bibliothek verbessern</w:t>
            </w:r>
          </w:p>
        </w:tc>
      </w:tr>
    </w:tbl>
    <w:p/>
    <w:p>
      <w:pPr>
        <w:pStyle w:val="Heading2"/>
      </w:pPr>
      <w:r>
        <w:t>10.23 Berater-Checkliste zu Kapitel 10</w:t>
      </w:r>
    </w:p>
    <w:tbl>
      <w:tblPr>
        <w:tblStyle w:val="TableGrid"/>
        <w:tblW w:type="auto" w:w="0"/>
        <w:jc w:val="center"/>
        <w:tblLook w:firstColumn="1" w:firstRow="1" w:lastColumn="0" w:lastRow="0" w:noHBand="0" w:noVBand="1" w:val="04A0"/>
      </w:tblPr>
      <w:tblGrid>
        <w:gridCol w:w="4816"/>
        <w:gridCol w:w="4816"/>
      </w:tblGrid>
      <w:tr>
        <w:tc>
          <w:tcPr>
            <w:tcW w:type="dxa" w:w="4816"/>
            <w:vAlign w:val="center"/>
            <w:shd w:fill="1E375A"/>
          </w:tcPr>
          <w:p>
            <w:r>
              <w:rPr>
                <w:b/>
                <w:color w:val="FFFFFF"/>
                <w:sz w:val="16"/>
              </w:rPr>
              <w:t>Prüffrage</w:t>
            </w:r>
          </w:p>
        </w:tc>
        <w:tc>
          <w:tcPr>
            <w:tcW w:type="dxa" w:w="4816"/>
            <w:vAlign w:val="center"/>
            <w:shd w:fill="1E375A"/>
          </w:tcPr>
          <w:p>
            <w:r>
              <w:rPr>
                <w:b/>
                <w:color w:val="FFFFFF"/>
                <w:sz w:val="16"/>
              </w:rPr>
              <w:t>Ziel</w:t>
            </w:r>
          </w:p>
        </w:tc>
      </w:tr>
      <w:tr>
        <w:tc>
          <w:tcPr>
            <w:tcW w:type="dxa" w:w="4816"/>
            <w:vAlign w:val="top"/>
          </w:tcPr>
          <w:p>
            <w:r>
              <w:rPr>
                <w:sz w:val="15"/>
              </w:rPr>
              <w:t>Sind die benötigten Templates vor Projektstart ausgewählt?</w:t>
            </w:r>
          </w:p>
        </w:tc>
        <w:tc>
          <w:tcPr>
            <w:tcW w:type="dxa" w:w="4816"/>
            <w:vAlign w:val="top"/>
          </w:tcPr>
          <w:p>
            <w:r>
              <w:rPr>
                <w:sz w:val="15"/>
              </w:rPr>
              <w:t>Arbeitsweise früh strukturieren.</w:t>
            </w:r>
          </w:p>
        </w:tc>
      </w:tr>
      <w:tr>
        <w:tc>
          <w:tcPr>
            <w:tcW w:type="dxa" w:w="4816"/>
            <w:vAlign w:val="top"/>
          </w:tcPr>
          <w:p>
            <w:r>
              <w:rPr>
                <w:sz w:val="15"/>
              </w:rPr>
              <w:t>Sind Templates an Softwarekategorie und Kundenkontext angepasst?</w:t>
            </w:r>
          </w:p>
        </w:tc>
        <w:tc>
          <w:tcPr>
            <w:tcW w:type="dxa" w:w="4816"/>
            <w:vAlign w:val="top"/>
          </w:tcPr>
          <w:p>
            <w:r>
              <w:rPr>
                <w:sz w:val="15"/>
              </w:rPr>
              <w:t>Unpassende Standardisierung vermeiden.</w:t>
            </w:r>
          </w:p>
        </w:tc>
      </w:tr>
      <w:tr>
        <w:tc>
          <w:tcPr>
            <w:tcW w:type="dxa" w:w="4816"/>
            <w:vAlign w:val="top"/>
          </w:tcPr>
          <w:p>
            <w:r>
              <w:rPr>
                <w:sz w:val="15"/>
              </w:rPr>
              <w:t>Sind Pflichtfelder und optionale Felder klar erkennbar?</w:t>
            </w:r>
          </w:p>
        </w:tc>
        <w:tc>
          <w:tcPr>
            <w:tcW w:type="dxa" w:w="4816"/>
            <w:vAlign w:val="top"/>
          </w:tcPr>
          <w:p>
            <w:r>
              <w:rPr>
                <w:sz w:val="15"/>
              </w:rPr>
              <w:t>Pflegeaufwand steuern.</w:t>
            </w:r>
          </w:p>
        </w:tc>
      </w:tr>
      <w:tr>
        <w:tc>
          <w:tcPr>
            <w:tcW w:type="dxa" w:w="4816"/>
            <w:vAlign w:val="top"/>
          </w:tcPr>
          <w:p>
            <w:r>
              <w:rPr>
                <w:sz w:val="15"/>
              </w:rPr>
              <w:t>Unterstützen Templates Traceability zwischen Strategie, Capabilities, Anforderungen und Bewertung?</w:t>
            </w:r>
          </w:p>
        </w:tc>
        <w:tc>
          <w:tcPr>
            <w:tcW w:type="dxa" w:w="4816"/>
            <w:vAlign w:val="top"/>
          </w:tcPr>
          <w:p>
            <w:r>
              <w:rPr>
                <w:sz w:val="15"/>
              </w:rPr>
              <w:t>Durchgängigkeit sichern.</w:t>
            </w:r>
          </w:p>
        </w:tc>
      </w:tr>
      <w:tr>
        <w:tc>
          <w:tcPr>
            <w:tcW w:type="dxa" w:w="4816"/>
            <w:vAlign w:val="top"/>
          </w:tcPr>
          <w:p>
            <w:r>
              <w:rPr>
                <w:sz w:val="15"/>
              </w:rPr>
              <w:t>Sind Anforderungen, Risiken, Entscheidungen und Anbieterantworten eindeutig identifizierbar?</w:t>
            </w:r>
          </w:p>
        </w:tc>
        <w:tc>
          <w:tcPr>
            <w:tcW w:type="dxa" w:w="4816"/>
            <w:vAlign w:val="top"/>
          </w:tcPr>
          <w:p>
            <w:r>
              <w:rPr>
                <w:sz w:val="15"/>
              </w:rPr>
              <w:t>Verknüpfung und Auswertung ermöglichen.</w:t>
            </w:r>
          </w:p>
        </w:tc>
      </w:tr>
      <w:tr>
        <w:tc>
          <w:tcPr>
            <w:tcW w:type="dxa" w:w="4816"/>
            <w:vAlign w:val="top"/>
          </w:tcPr>
          <w:p>
            <w:r>
              <w:rPr>
                <w:sz w:val="15"/>
              </w:rPr>
              <w:t>Sind Bewertungsskalen und Kriterien in Templates erklärt?</w:t>
            </w:r>
          </w:p>
        </w:tc>
        <w:tc>
          <w:tcPr>
            <w:tcW w:type="dxa" w:w="4816"/>
            <w:vAlign w:val="top"/>
          </w:tcPr>
          <w:p>
            <w:r>
              <w:rPr>
                <w:sz w:val="15"/>
              </w:rPr>
              <w:t>Konsistente Bewertung sicherstellen.</w:t>
            </w:r>
          </w:p>
        </w:tc>
      </w:tr>
      <w:tr>
        <w:tc>
          <w:tcPr>
            <w:tcW w:type="dxa" w:w="4816"/>
            <w:vAlign w:val="top"/>
          </w:tcPr>
          <w:p>
            <w:r>
              <w:rPr>
                <w:sz w:val="15"/>
              </w:rPr>
              <w:t>Sind Anbieter-Templates so gestaltet, dass Antworten vergleichbar sind?</w:t>
            </w:r>
          </w:p>
        </w:tc>
        <w:tc>
          <w:tcPr>
            <w:tcW w:type="dxa" w:w="4816"/>
            <w:vAlign w:val="top"/>
          </w:tcPr>
          <w:p>
            <w:r>
              <w:rPr>
                <w:sz w:val="15"/>
              </w:rPr>
              <w:t>Auswertung erleichtern.</w:t>
            </w:r>
          </w:p>
        </w:tc>
      </w:tr>
      <w:tr>
        <w:tc>
          <w:tcPr>
            <w:tcW w:type="dxa" w:w="4816"/>
            <w:vAlign w:val="top"/>
          </w:tcPr>
          <w:p>
            <w:r>
              <w:rPr>
                <w:sz w:val="15"/>
              </w:rPr>
              <w:t>Gibt es Beispiele oder Formulierungshinweise?</w:t>
            </w:r>
          </w:p>
        </w:tc>
        <w:tc>
          <w:tcPr>
            <w:tcW w:type="dxa" w:w="4816"/>
            <w:vAlign w:val="top"/>
          </w:tcPr>
          <w:p>
            <w:r>
              <w:rPr>
                <w:sz w:val="15"/>
              </w:rPr>
              <w:t>Qualität der Befüllung erhöhen.</w:t>
            </w:r>
          </w:p>
        </w:tc>
      </w:tr>
      <w:tr>
        <w:tc>
          <w:tcPr>
            <w:tcW w:type="dxa" w:w="4816"/>
            <w:vAlign w:val="top"/>
          </w:tcPr>
          <w:p>
            <w:r>
              <w:rPr>
                <w:sz w:val="15"/>
              </w:rPr>
              <w:t>Sind Templates versioniert und gepflegt?</w:t>
            </w:r>
          </w:p>
        </w:tc>
        <w:tc>
          <w:tcPr>
            <w:tcW w:type="dxa" w:w="4816"/>
            <w:vAlign w:val="top"/>
          </w:tcPr>
          <w:p>
            <w:r>
              <w:rPr>
                <w:sz w:val="15"/>
              </w:rPr>
              <w:t>Methodik aktuell halten.</w:t>
            </w:r>
          </w:p>
        </w:tc>
      </w:tr>
      <w:tr>
        <w:tc>
          <w:tcPr>
            <w:tcW w:type="dxa" w:w="4816"/>
            <w:vAlign w:val="top"/>
          </w:tcPr>
          <w:p>
            <w:r>
              <w:rPr>
                <w:sz w:val="15"/>
              </w:rPr>
              <w:t>Sind Templates digitalisierbar?</w:t>
            </w:r>
          </w:p>
        </w:tc>
        <w:tc>
          <w:tcPr>
            <w:tcW w:type="dxa" w:w="4816"/>
            <w:vAlign w:val="top"/>
          </w:tcPr>
          <w:p>
            <w:r>
              <w:rPr>
                <w:sz w:val="15"/>
              </w:rPr>
              <w:t>Überführung in adtender-Plattform vorbereiten.</w:t>
            </w:r>
          </w:p>
        </w:tc>
      </w:tr>
    </w:tbl>
    <w:p/>
    <w:p>
      <w:pPr>
        <w:pStyle w:val="Heading2"/>
      </w:pPr>
      <w:r>
        <w:t>10.24 Zusammenfassung</w:t>
      </w:r>
    </w:p>
    <w:p>
      <w:r>
        <w:t>Templates sind ein zentraler Bestandteil des adtender Selection Frameworks. Sie machen die Methodik anwendbar, wiederholbar und qualitätssichernd. Gute Templates beschleunigen Projekte, reduzieren Fehler, erhöhen Vergleichbarkeit und schaffen die Grundlage für eine spätere digitale Unterstützung des Auswahlprozesses.</w:t>
      </w:r>
    </w:p>
    <w:p>
      <w:r>
        <w:t>Der Wert eines Templates liegt nicht in seiner formalen Struktur allein, sondern in seiner fachlichen Logik. Ein Template muss den Berater zu besseren Fragen führen, Projektergebnisse anschlussfähig machen und Entscheidungen vorbereiten. Es darf weder zu oberflächlich noch zu bürokratisch sein. Es muss Standardisierung ermöglichen und zugleich ausreichend Raum für Projektspezifika lassen.</w:t>
      </w:r>
    </w:p>
    <w:p>
      <w:r>
        <w:t>Mit Kapitel 10 wird Teil A des Handbuchs fachlich abgerundet. Die Grundlagen, Prinzipien, Rollen, Governance, Phasen, Deliverables, Dokumentenmodell und Templates bilden nun den methodischen Rahmen. Teil B kann darauf aufbauen und die eigentlichen Projektphasen des Softwareauswahlprozesses detailliert beschreiben.</w:t>
      </w:r>
    </w:p>
    <w:sectPr w:rsidR="00FC693F" w:rsidRPr="0006063C" w:rsidSect="00034616">
      <w:headerReference w:type="default" r:id="rId9"/>
      <w:footerReference w:type="default" r:id="rId10"/>
      <w:pgSz w:w="12240" w:h="15840"/>
      <w:pgMar w:top="1247"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SFSmall"/>
      <w:jc w:val="left"/>
    </w:pPr>
    <w:r>
      <w:t>Kapitel 10 – Templates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SFSmall"/>
      <w:jc w:val="right"/>
    </w:pPr>
    <w:r>
      <w:t>adtender Selection Framework (ASF) | Methodenhandbuch | Kapitel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04"/>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E375A"/>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1E375A"/>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eastAsia="Aptos Display"/>
      <w:b/>
      <w:bCs/>
      <w:color w:val="374B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FBox">
    <w:name w:val="ASF Box"/>
    <w:pPr>
      <w:spacing w:after="80"/>
      <w:ind w:left="198" w:right="142"/>
    </w:pPr>
    <w:rPr>
      <w:rFonts w:ascii="Aptos" w:hAnsi="Aptos" w:eastAsia="Aptos"/>
      <w:color w:val="282828"/>
      <w:sz w:val="19"/>
    </w:rPr>
  </w:style>
  <w:style w:type="paragraph" w:customStyle="1" w:styleId="ASFSmall">
    <w:name w:val="ASF Small"/>
    <w:pPr>
      <w:spacing w:after="60"/>
    </w:pPr>
    <w:rPr>
      <w:rFonts w:ascii="Aptos" w:hAnsi="Aptos" w:eastAsia="Aptos"/>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