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Cartera Vigente Agro: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Requiere dos fechas: El cierre del mes actual (ej. 7/31) y el cierre del mes anterior (ej. 6/30). </w:t>
      </w:r>
      <w:r w:rsidDel="00000000" w:rsidR="00000000" w:rsidRPr="00000000">
        <w:rPr>
          <w:i w:val="1"/>
          <w:iCs w:val="1"/>
          <w:rtl w:val="0"/>
        </w:rPr>
        <w:t xml:space="preserve">Ojo: Si el fin de mes cae feriado, se usa el día hábil anterior.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en dos partes: La primera va a la hoja "Saldo vigente" (contiene 2 resultados: cierre actual y cierre pasado) y la segunda va a la hoja "Clientes".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