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F5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b/>
          <w:sz w:val="24"/>
          <w:szCs w:val="24"/>
        </w:rPr>
        <w:t>Partida de motor de indução em vazio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71A445" wp14:editId="04B7C6B5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FD4BB2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Relação de corrente de fase com rotação do motor até atingir sua rotação nominal em vazio</w:t>
      </w:r>
      <w:r w:rsidR="00AA08C1" w:rsidRPr="00AA08C1">
        <w:rPr>
          <w:rFonts w:ascii="Arial" w:hAnsi="Arial" w:cs="Arial"/>
          <w:sz w:val="24"/>
          <w:szCs w:val="24"/>
        </w:rPr>
        <w:t>. Até que a corrente de linha atinja sua estabilização, a velocidade angular do motor cresce de maneira a atingir sua velocidade nominal, assim, estabilizando a corrente requerida ao motor.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4EC6DA" wp14:editId="7E2F5C67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54" w:rsidRPr="00AA08C1" w:rsidRDefault="00495F54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Relações de torque e rotação para motor em vazio</w:t>
      </w:r>
      <w:r w:rsidR="00AA08C1" w:rsidRPr="00AA08C1">
        <w:rPr>
          <w:rFonts w:ascii="Arial" w:hAnsi="Arial" w:cs="Arial"/>
          <w:sz w:val="24"/>
          <w:szCs w:val="24"/>
        </w:rPr>
        <w:t xml:space="preserve">. O torque do motor em seu eixo de saída cresce </w:t>
      </w:r>
      <w:proofErr w:type="gramStart"/>
      <w:r w:rsidR="00AA08C1" w:rsidRPr="00AA08C1">
        <w:rPr>
          <w:rFonts w:ascii="Arial" w:hAnsi="Arial" w:cs="Arial"/>
          <w:sz w:val="24"/>
          <w:szCs w:val="24"/>
        </w:rPr>
        <w:t>a</w:t>
      </w:r>
      <w:proofErr w:type="gramEnd"/>
      <w:r w:rsidR="00AA08C1" w:rsidRPr="00AA08C1">
        <w:rPr>
          <w:rFonts w:ascii="Arial" w:hAnsi="Arial" w:cs="Arial"/>
          <w:sz w:val="24"/>
          <w:szCs w:val="24"/>
        </w:rPr>
        <w:t xml:space="preserve"> medida que a rotação também é acrescida a fim de vencer a inércia envolvida. Atingindo a rotação constante nominal, o torque retorna a zero, pois este não possui carga na sua saída.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9F8D8FF" wp14:editId="5AA998F5">
            <wp:extent cx="5593080" cy="2870860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br/>
      </w:r>
      <w:r w:rsidRPr="00AA08C1">
        <w:rPr>
          <w:rFonts w:ascii="Arial" w:hAnsi="Arial" w:cs="Arial"/>
          <w:b/>
          <w:sz w:val="24"/>
          <w:szCs w:val="24"/>
        </w:rPr>
        <w:t>Constante de tempo de acionamento CC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5DE59E" wp14:editId="283EA67B">
            <wp:extent cx="24288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6858C7C" wp14:editId="4C6B35AE">
            <wp:extent cx="336232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F73CBC" wp14:editId="72E1E10B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E8360A6" wp14:editId="711FB1AB">
            <wp:extent cx="3219450" cy="237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EFE681" wp14:editId="796AC697">
            <wp:extent cx="2334731" cy="18859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(s)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=0,37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=4,05ms</m:t>
        </m:r>
      </m:oMath>
      <w:r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=11,7ms</m:t>
        </m:r>
      </m:oMath>
      <w:proofErr w:type="gramStart"/>
      <w:r w:rsidRPr="00AA08C1">
        <w:rPr>
          <w:rFonts w:ascii="Arial" w:eastAsiaTheme="minorEastAsia" w:hAnsi="Arial" w:cs="Arial"/>
          <w:sz w:val="24"/>
          <w:szCs w:val="24"/>
        </w:rPr>
        <w:t xml:space="preserve"> ,</w:t>
      </w:r>
      <w:proofErr w:type="gramEnd"/>
      <w:r w:rsidRPr="00AA08C1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=k*ω </m:t>
        </m:r>
      </m:oMath>
      <w:r w:rsidRPr="00AA08C1">
        <w:rPr>
          <w:rFonts w:ascii="Arial" w:eastAsiaTheme="minorEastAsia" w:hAnsi="Arial" w:cs="Arial"/>
          <w:sz w:val="24"/>
          <w:szCs w:val="24"/>
        </w:rPr>
        <w:t xml:space="preserve"> ,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Pr="00AA08C1">
        <w:rPr>
          <w:rFonts w:ascii="Arial" w:eastAsiaTheme="minorEastAsia" w:hAnsi="Arial" w:cs="Arial"/>
          <w:sz w:val="24"/>
          <w:szCs w:val="24"/>
        </w:rPr>
        <w:t xml:space="preserve">     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 w:rsidRPr="00AA08C1">
        <w:rPr>
          <w:rFonts w:ascii="Arial" w:eastAsiaTheme="minorEastAsia" w:hAnsi="Arial" w:cs="Arial"/>
          <w:sz w:val="24"/>
          <w:szCs w:val="24"/>
        </w:rPr>
        <w:t xml:space="preserve"> ,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A08C1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La=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=0,37*4,05*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=1,49mH</m:t>
        </m:r>
      </m:oMath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232,6rad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=2221rpm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=120-037*10=116,3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=k*10=5Nm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05185FF" wp14:editId="228E33EC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6AA59F" wp14:editId="4A60AA24">
            <wp:extent cx="3362325" cy="3752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96BF7B3" wp14:editId="3E0A78F3">
            <wp:extent cx="4162425" cy="33623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CEE3E9" wp14:editId="460A2F1F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BE8B10" wp14:editId="1BE98D47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DD9390" wp14:editId="7472F30C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Gain=2π/60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8E2F73C" wp14:editId="3633BDF2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Perda de transferência de potencia de acordo com a rotação.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0ABE35" wp14:editId="092FFA88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AA08C1" w:rsidRDefault="00AA08C1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br w:type="page"/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bookmarkStart w:id="0" w:name="_GoBack"/>
      <w:bookmarkEnd w:id="0"/>
      <w:r w:rsidRPr="00AA08C1">
        <w:rPr>
          <w:rFonts w:ascii="Arial" w:eastAsiaTheme="minorEastAsia" w:hAnsi="Arial" w:cs="Arial"/>
          <w:b/>
          <w:sz w:val="24"/>
          <w:szCs w:val="24"/>
        </w:rPr>
        <w:lastRenderedPageBreak/>
        <w:t>Conversor CC-CC abaixador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AAEFE0" wp14:editId="08C12E42">
            <wp:extent cx="4343400" cy="3362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8C1">
        <w:rPr>
          <w:rFonts w:ascii="Arial" w:eastAsiaTheme="minorEastAsia" w:hAnsi="Arial" w:cs="Arial"/>
          <w:sz w:val="24"/>
          <w:szCs w:val="24"/>
        </w:rPr>
        <w:br/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AA08C1">
        <w:rPr>
          <w:rFonts w:ascii="Arial" w:eastAsiaTheme="minorEastAsia" w:hAnsi="Arial" w:cs="Arial"/>
          <w:sz w:val="24"/>
          <w:szCs w:val="24"/>
        </w:rPr>
        <w:t>para</w:t>
      </w:r>
      <w:proofErr w:type="gramEnd"/>
      <w:r w:rsidRPr="00AA08C1">
        <w:rPr>
          <w:rFonts w:ascii="Arial" w:eastAsiaTheme="minorEastAsia" w:hAnsi="Arial" w:cs="Arial"/>
          <w:sz w:val="24"/>
          <w:szCs w:val="24"/>
        </w:rPr>
        <w:t xml:space="preserve"> modo de condução continua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Vd-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D.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=0,9A 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=0,9A 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lim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Ω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0,9.100.10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</m:sup>
          </m:sSup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lastRenderedPageBreak/>
        <w:t xml:space="preserve">Relação da tensão de saída e chaveamento da tensão de entrada pelo IGBT, em comparação com as correntes no capacitor e </w:t>
      </w:r>
      <w:proofErr w:type="gramStart"/>
      <w:r w:rsidRPr="00AA08C1">
        <w:rPr>
          <w:rFonts w:ascii="Arial" w:eastAsiaTheme="minorEastAsia" w:hAnsi="Arial" w:cs="Arial"/>
          <w:sz w:val="24"/>
          <w:szCs w:val="24"/>
        </w:rPr>
        <w:t>indutor</w:t>
      </w:r>
      <w:proofErr w:type="gramEnd"/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185132" wp14:editId="1DEFE659">
            <wp:extent cx="5400040" cy="26911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64AF7D" wp14:editId="0CAD0902">
            <wp:extent cx="3609975" cy="2438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Relação de disparo do IGBT e comutação em sua base, bem como as correntes no indutor e capacitor correspondentes.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3F46D9" wp14:editId="478DEAB8">
            <wp:extent cx="5400040" cy="27584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</w:rPr>
        <w:t xml:space="preserve">Com acrescimo da resistência R1, nota-se o início da distorção na tensão chaveada pelo IGBT, iniciando condução descontínua. 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72604C" wp14:editId="00E51A15">
            <wp:extent cx="5400040" cy="28263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sectPr w:rsidR="00AA08C1" w:rsidRPr="00AA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FD"/>
    <w:rsid w:val="00482488"/>
    <w:rsid w:val="00495F54"/>
    <w:rsid w:val="005901FD"/>
    <w:rsid w:val="00AA08C1"/>
    <w:rsid w:val="00BC7E2E"/>
    <w:rsid w:val="00D8482F"/>
    <w:rsid w:val="00FD4BB2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 Silva Viana dos Santos</cp:lastModifiedBy>
  <cp:revision>5</cp:revision>
  <dcterms:created xsi:type="dcterms:W3CDTF">2019-03-12T23:31:00Z</dcterms:created>
  <dcterms:modified xsi:type="dcterms:W3CDTF">2019-05-29T18:18:00Z</dcterms:modified>
</cp:coreProperties>
</file>