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F5" w:rsidRDefault="005901FD">
      <w:r>
        <w:t>Partida de motor de indução em vazio</w:t>
      </w:r>
    </w:p>
    <w:p w:rsidR="005901FD" w:rsidRDefault="005901FD"/>
    <w:p w:rsidR="005901FD" w:rsidRDefault="005901FD">
      <w:r>
        <w:rPr>
          <w:noProof/>
          <w:lang w:eastAsia="pt-BR"/>
        </w:rPr>
        <w:drawing>
          <wp:inline distT="0" distB="0" distL="0" distR="0" wp14:anchorId="6DF949FA" wp14:editId="2EA70C30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B2" w:rsidRDefault="00FD4BB2">
      <w:r>
        <w:t>Relação de corrente de fase com rotação do motor até atingir sua rotação nominal em vazio</w:t>
      </w:r>
    </w:p>
    <w:p w:rsidR="005901FD" w:rsidRDefault="005901FD">
      <w:r>
        <w:rPr>
          <w:noProof/>
          <w:lang w:eastAsia="pt-BR"/>
        </w:rPr>
        <w:drawing>
          <wp:inline distT="0" distB="0" distL="0" distR="0" wp14:anchorId="0F2951E8" wp14:editId="6DE84B89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54" w:rsidRDefault="00495F54">
      <w:r>
        <w:t>Relações de torque e rotação para motor em vazio</w:t>
      </w:r>
      <w:bookmarkStart w:id="0" w:name="_GoBack"/>
      <w:bookmarkEnd w:id="0"/>
    </w:p>
    <w:p w:rsidR="005901FD" w:rsidRDefault="005901FD">
      <w:r>
        <w:rPr>
          <w:noProof/>
          <w:lang w:eastAsia="pt-BR"/>
        </w:rPr>
        <w:drawing>
          <wp:inline distT="0" distB="0" distL="0" distR="0" wp14:anchorId="3F1C9864" wp14:editId="09B3A837">
            <wp:extent cx="5593080" cy="2870860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FD"/>
    <w:rsid w:val="00482488"/>
    <w:rsid w:val="00495F54"/>
    <w:rsid w:val="005901FD"/>
    <w:rsid w:val="00BC7E2E"/>
    <w:rsid w:val="00D8482F"/>
    <w:rsid w:val="00FD4BB2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AA3B"/>
  <w15:chartTrackingRefBased/>
  <w15:docId w15:val="{BAEB396E-C67F-450E-A70E-8B52E19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</cp:lastModifiedBy>
  <cp:revision>4</cp:revision>
  <dcterms:created xsi:type="dcterms:W3CDTF">2019-03-12T23:31:00Z</dcterms:created>
  <dcterms:modified xsi:type="dcterms:W3CDTF">2019-05-29T04:42:00Z</dcterms:modified>
</cp:coreProperties>
</file>