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6588" w14:textId="503E0BA9" w:rsidR="00DA18E1" w:rsidRPr="00074369" w:rsidRDefault="00DA18E1" w:rsidP="00DA18E1">
      <w:pPr>
        <w:jc w:val="center"/>
        <w:rPr>
          <w:b/>
          <w:caps/>
        </w:rPr>
      </w:pPr>
      <w:r w:rsidRPr="00074369">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Pr="00074369" w:rsidRDefault="00DA18E1" w:rsidP="00DA18E1">
      <w:pPr>
        <w:jc w:val="center"/>
        <w:rPr>
          <w:b/>
          <w:caps/>
        </w:rPr>
      </w:pPr>
    </w:p>
    <w:p w14:paraId="1FDFD1BC" w14:textId="723A080B" w:rsidR="00DA18E1" w:rsidRPr="00074369" w:rsidRDefault="00DA18E1" w:rsidP="00DA18E1">
      <w:pPr>
        <w:jc w:val="center"/>
        <w:rPr>
          <w:b/>
          <w:caps/>
          <w:sz w:val="28"/>
        </w:rPr>
      </w:pPr>
      <w:r w:rsidRPr="00074369">
        <w:rPr>
          <w:b/>
          <w:caps/>
          <w:sz w:val="28"/>
        </w:rPr>
        <w:t>“Competencia en precios minoristas de combustibles líquidos de Lima Metropolitana”</w:t>
      </w:r>
    </w:p>
    <w:p w14:paraId="3CDEBE83" w14:textId="272E1B10" w:rsidR="00DA18E1" w:rsidRPr="00074369" w:rsidRDefault="00DA18E1" w:rsidP="00DA18E1">
      <w:pPr>
        <w:spacing w:after="200" w:line="276" w:lineRule="auto"/>
        <w:jc w:val="center"/>
        <w:rPr>
          <w:b/>
        </w:rPr>
      </w:pPr>
    </w:p>
    <w:p w14:paraId="2ED0F0E8" w14:textId="77777777" w:rsidR="00DA18E1" w:rsidRPr="00074369" w:rsidRDefault="00DA18E1" w:rsidP="00DA18E1">
      <w:pPr>
        <w:spacing w:after="200" w:line="276" w:lineRule="auto"/>
        <w:jc w:val="center"/>
        <w:rPr>
          <w:b/>
        </w:rPr>
      </w:pPr>
    </w:p>
    <w:p w14:paraId="666A329C" w14:textId="630732C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Curso: Taller de Investigación</w:t>
      </w:r>
    </w:p>
    <w:p w14:paraId="268CE14A" w14:textId="0E70D5A3" w:rsidR="00CD64C6"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AVANCE PARCIAL</w:t>
      </w:r>
    </w:p>
    <w:p w14:paraId="19C08644" w14:textId="46454D5F" w:rsidR="00DA18E1" w:rsidRPr="00074369" w:rsidRDefault="00DA18E1" w:rsidP="00DA18E1">
      <w:pPr>
        <w:spacing w:after="200" w:line="276" w:lineRule="auto"/>
        <w:jc w:val="center"/>
        <w:rPr>
          <w:rFonts w:asciiTheme="majorHAnsi" w:hAnsiTheme="majorHAnsi"/>
          <w:b/>
          <w:sz w:val="28"/>
        </w:rPr>
      </w:pPr>
    </w:p>
    <w:p w14:paraId="6BB61F75" w14:textId="77777777" w:rsidR="00DA18E1" w:rsidRPr="00074369" w:rsidRDefault="00DA18E1" w:rsidP="00DA18E1">
      <w:pPr>
        <w:spacing w:after="200" w:line="276" w:lineRule="auto"/>
        <w:jc w:val="center"/>
        <w:rPr>
          <w:rFonts w:asciiTheme="majorHAnsi" w:hAnsiTheme="majorHAnsi"/>
          <w:b/>
          <w:sz w:val="28"/>
        </w:rPr>
      </w:pPr>
    </w:p>
    <w:p w14:paraId="5F0202DF" w14:textId="152CD8E7"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Presentado por:</w:t>
      </w:r>
    </w:p>
    <w:p w14:paraId="7489C678" w14:textId="77777777" w:rsidR="00DA18E1" w:rsidRPr="00074369" w:rsidRDefault="00DA18E1" w:rsidP="00DA18E1">
      <w:pPr>
        <w:spacing w:after="200" w:line="276" w:lineRule="auto"/>
        <w:jc w:val="center"/>
        <w:rPr>
          <w:rFonts w:asciiTheme="majorHAnsi" w:hAnsiTheme="majorHAnsi"/>
          <w:b/>
          <w:sz w:val="28"/>
        </w:rPr>
      </w:pPr>
    </w:p>
    <w:p w14:paraId="7932904E" w14:textId="099B5F7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Sr. Diego Nicolás Uriarte Cáceres</w:t>
      </w:r>
    </w:p>
    <w:p w14:paraId="28A96897" w14:textId="507A868C" w:rsidR="00DA18E1" w:rsidRPr="00074369" w:rsidRDefault="00DA18E1" w:rsidP="00DA18E1">
      <w:pPr>
        <w:spacing w:after="200" w:line="276" w:lineRule="auto"/>
        <w:jc w:val="center"/>
        <w:rPr>
          <w:rFonts w:asciiTheme="majorHAnsi" w:hAnsiTheme="majorHAnsi"/>
          <w:b/>
          <w:sz w:val="28"/>
        </w:rPr>
      </w:pPr>
    </w:p>
    <w:p w14:paraId="0788949C" w14:textId="53BB818E" w:rsidR="00DA18E1" w:rsidRPr="00074369" w:rsidRDefault="00DA18E1" w:rsidP="00DA18E1">
      <w:pPr>
        <w:spacing w:after="200" w:line="276" w:lineRule="auto"/>
        <w:jc w:val="center"/>
        <w:rPr>
          <w:rFonts w:asciiTheme="majorHAnsi" w:hAnsiTheme="majorHAnsi"/>
          <w:b/>
          <w:sz w:val="28"/>
        </w:rPr>
      </w:pPr>
    </w:p>
    <w:p w14:paraId="5B661919" w14:textId="77777777" w:rsidR="00DA18E1" w:rsidRPr="00074369" w:rsidRDefault="00DA18E1" w:rsidP="00DA18E1">
      <w:pPr>
        <w:spacing w:after="200" w:line="276" w:lineRule="auto"/>
        <w:jc w:val="center"/>
        <w:rPr>
          <w:rFonts w:asciiTheme="majorHAnsi" w:hAnsiTheme="majorHAnsi"/>
          <w:b/>
          <w:sz w:val="28"/>
        </w:rPr>
      </w:pPr>
    </w:p>
    <w:p w14:paraId="13A6F051" w14:textId="2ACACEDC" w:rsidR="00DA18E1" w:rsidRPr="00074369" w:rsidRDefault="00DA18E1" w:rsidP="00DA18E1">
      <w:pPr>
        <w:spacing w:after="200" w:line="276" w:lineRule="auto"/>
        <w:jc w:val="center"/>
        <w:rPr>
          <w:rFonts w:asciiTheme="majorHAnsi" w:hAnsiTheme="majorHAnsi"/>
          <w:b/>
          <w:color w:val="202124"/>
          <w:spacing w:val="3"/>
        </w:rPr>
      </w:pPr>
      <w:r w:rsidRPr="00074369">
        <w:rPr>
          <w:rFonts w:asciiTheme="majorHAnsi" w:hAnsiTheme="majorHAnsi"/>
          <w:b/>
          <w:sz w:val="28"/>
        </w:rPr>
        <w:t xml:space="preserve">Asesor: </w:t>
      </w:r>
    </w:p>
    <w:p w14:paraId="296F58DE" w14:textId="69FEB635" w:rsidR="00DA18E1" w:rsidRPr="00074369" w:rsidRDefault="00DA18E1" w:rsidP="00DA18E1">
      <w:pPr>
        <w:spacing w:after="200" w:line="276" w:lineRule="auto"/>
        <w:jc w:val="center"/>
        <w:rPr>
          <w:rFonts w:asciiTheme="majorHAnsi" w:hAnsiTheme="majorHAnsi"/>
          <w:b/>
          <w:color w:val="202124"/>
          <w:spacing w:val="3"/>
        </w:rPr>
      </w:pPr>
    </w:p>
    <w:p w14:paraId="6BA1117A" w14:textId="12335B70" w:rsidR="00DA18E1" w:rsidRPr="00074369" w:rsidRDefault="00CC0ED4" w:rsidP="00DA18E1">
      <w:pPr>
        <w:spacing w:after="200" w:line="276" w:lineRule="auto"/>
        <w:jc w:val="center"/>
        <w:rPr>
          <w:rFonts w:asciiTheme="majorHAnsi" w:hAnsiTheme="majorHAnsi"/>
          <w:b/>
          <w:sz w:val="28"/>
        </w:rPr>
      </w:pPr>
      <w:r>
        <w:rPr>
          <w:rFonts w:asciiTheme="majorHAnsi" w:hAnsiTheme="majorHAnsi"/>
          <w:b/>
          <w:color w:val="202124"/>
          <w:spacing w:val="3"/>
          <w:sz w:val="28"/>
        </w:rPr>
        <w:t>2021</w:t>
      </w:r>
    </w:p>
    <w:p w14:paraId="4EAC6363" w14:textId="0C938D78" w:rsidR="00DA18E1" w:rsidRPr="00074369" w:rsidRDefault="00DA18E1" w:rsidP="00DA18E1">
      <w:pPr>
        <w:spacing w:after="200" w:line="276" w:lineRule="auto"/>
        <w:jc w:val="center"/>
      </w:pPr>
    </w:p>
    <w:p w14:paraId="2873C896" w14:textId="4B6956F3" w:rsidR="00CD64C6" w:rsidRPr="00074369" w:rsidRDefault="00CD64C6">
      <w:pPr>
        <w:spacing w:after="200" w:line="276" w:lineRule="auto"/>
        <w:jc w:val="left"/>
        <w:rPr>
          <w:b/>
        </w:rPr>
      </w:pPr>
      <w:r w:rsidRPr="00074369">
        <w:rPr>
          <w:b/>
        </w:rPr>
        <w:lastRenderedPageBreak/>
        <w:t>INDICE</w:t>
      </w:r>
    </w:p>
    <w:sdt>
      <w:sdtPr>
        <w:rPr>
          <w:rFonts w:asciiTheme="minorHAnsi" w:eastAsia="Times New Roman" w:hAnsiTheme="minorHAnsi" w:cs="Times New Roman"/>
          <w:color w:val="auto"/>
          <w:sz w:val="22"/>
          <w:szCs w:val="22"/>
          <w:lang w:val="es-PE"/>
        </w:rPr>
        <w:id w:val="-1130474907"/>
        <w:docPartObj>
          <w:docPartGallery w:val="Table of Contents"/>
          <w:docPartUnique/>
        </w:docPartObj>
      </w:sdtPr>
      <w:sdtEndPr>
        <w:rPr>
          <w:b/>
          <w:bCs/>
        </w:rPr>
      </w:sdtEndPr>
      <w:sdtContent>
        <w:p w14:paraId="7E162119" w14:textId="25EF08A5" w:rsidR="00DA18E1" w:rsidRPr="00074369" w:rsidRDefault="00DA18E1" w:rsidP="00DA18E1">
          <w:pPr>
            <w:pStyle w:val="TtuloTDC"/>
            <w:spacing w:before="0"/>
            <w:rPr>
              <w:lang w:val="es-PE"/>
            </w:rPr>
          </w:pPr>
        </w:p>
        <w:p w14:paraId="059AD98F" w14:textId="26A08F2C" w:rsidR="004C0429" w:rsidRDefault="00DA18E1">
          <w:pPr>
            <w:pStyle w:val="TDC1"/>
            <w:tabs>
              <w:tab w:val="right" w:leader="dot" w:pos="8493"/>
            </w:tabs>
            <w:rPr>
              <w:rFonts w:eastAsiaTheme="minorEastAsia" w:cstheme="minorBidi"/>
              <w:noProof/>
              <w:lang w:val="en-US"/>
            </w:rPr>
          </w:pPr>
          <w:r w:rsidRPr="00074369">
            <w:fldChar w:fldCharType="begin"/>
          </w:r>
          <w:r w:rsidRPr="00074369">
            <w:instrText xml:space="preserve"> TOC \o "1-3" \h \z \u </w:instrText>
          </w:r>
          <w:r w:rsidRPr="00074369">
            <w:fldChar w:fldCharType="separate"/>
          </w:r>
          <w:hyperlink w:anchor="_Toc11178394" w:history="1">
            <w:r w:rsidR="004C0429" w:rsidRPr="00304B12">
              <w:rPr>
                <w:rStyle w:val="Hipervnculo"/>
                <w:caps/>
                <w:noProof/>
              </w:rPr>
              <w:t>Índice de tablas</w:t>
            </w:r>
            <w:r w:rsidR="004C0429">
              <w:rPr>
                <w:noProof/>
                <w:webHidden/>
              </w:rPr>
              <w:tab/>
            </w:r>
            <w:r w:rsidR="004C0429">
              <w:rPr>
                <w:noProof/>
                <w:webHidden/>
              </w:rPr>
              <w:fldChar w:fldCharType="begin"/>
            </w:r>
            <w:r w:rsidR="004C0429">
              <w:rPr>
                <w:noProof/>
                <w:webHidden/>
              </w:rPr>
              <w:instrText xml:space="preserve"> PAGEREF _Toc11178394 \h </w:instrText>
            </w:r>
            <w:r w:rsidR="004C0429">
              <w:rPr>
                <w:noProof/>
                <w:webHidden/>
              </w:rPr>
            </w:r>
            <w:r w:rsidR="004C0429">
              <w:rPr>
                <w:noProof/>
                <w:webHidden/>
              </w:rPr>
              <w:fldChar w:fldCharType="separate"/>
            </w:r>
            <w:r w:rsidR="004C0429">
              <w:rPr>
                <w:noProof/>
                <w:webHidden/>
              </w:rPr>
              <w:t>4</w:t>
            </w:r>
            <w:r w:rsidR="004C0429">
              <w:rPr>
                <w:noProof/>
                <w:webHidden/>
              </w:rPr>
              <w:fldChar w:fldCharType="end"/>
            </w:r>
          </w:hyperlink>
        </w:p>
        <w:p w14:paraId="2098F47B" w14:textId="3FCC2945" w:rsidR="004C0429" w:rsidRDefault="00F21984">
          <w:pPr>
            <w:pStyle w:val="TDC1"/>
            <w:tabs>
              <w:tab w:val="right" w:leader="dot" w:pos="8493"/>
            </w:tabs>
            <w:rPr>
              <w:rFonts w:eastAsiaTheme="minorEastAsia" w:cstheme="minorBidi"/>
              <w:noProof/>
              <w:lang w:val="en-US"/>
            </w:rPr>
          </w:pPr>
          <w:hyperlink w:anchor="_Toc11178395" w:history="1">
            <w:r w:rsidR="004C0429" w:rsidRPr="00304B12">
              <w:rPr>
                <w:rStyle w:val="Hipervnculo"/>
                <w:caps/>
                <w:noProof/>
              </w:rPr>
              <w:t>Índice de gráficos</w:t>
            </w:r>
            <w:r w:rsidR="004C0429">
              <w:rPr>
                <w:noProof/>
                <w:webHidden/>
              </w:rPr>
              <w:tab/>
            </w:r>
            <w:r w:rsidR="004C0429">
              <w:rPr>
                <w:noProof/>
                <w:webHidden/>
              </w:rPr>
              <w:fldChar w:fldCharType="begin"/>
            </w:r>
            <w:r w:rsidR="004C0429">
              <w:rPr>
                <w:noProof/>
                <w:webHidden/>
              </w:rPr>
              <w:instrText xml:space="preserve"> PAGEREF _Toc11178395 \h </w:instrText>
            </w:r>
            <w:r w:rsidR="004C0429">
              <w:rPr>
                <w:noProof/>
                <w:webHidden/>
              </w:rPr>
            </w:r>
            <w:r w:rsidR="004C0429">
              <w:rPr>
                <w:noProof/>
                <w:webHidden/>
              </w:rPr>
              <w:fldChar w:fldCharType="separate"/>
            </w:r>
            <w:r w:rsidR="004C0429">
              <w:rPr>
                <w:noProof/>
                <w:webHidden/>
              </w:rPr>
              <w:t>5</w:t>
            </w:r>
            <w:r w:rsidR="004C0429">
              <w:rPr>
                <w:noProof/>
                <w:webHidden/>
              </w:rPr>
              <w:fldChar w:fldCharType="end"/>
            </w:r>
          </w:hyperlink>
        </w:p>
        <w:p w14:paraId="26E7C8A2" w14:textId="3DFE8531" w:rsidR="004C0429" w:rsidRDefault="00F21984">
          <w:pPr>
            <w:pStyle w:val="TDC1"/>
            <w:tabs>
              <w:tab w:val="left" w:pos="1320"/>
              <w:tab w:val="right" w:leader="dot" w:pos="8493"/>
            </w:tabs>
            <w:rPr>
              <w:rFonts w:eastAsiaTheme="minorEastAsia" w:cstheme="minorBidi"/>
              <w:noProof/>
              <w:lang w:val="en-US"/>
            </w:rPr>
          </w:pPr>
          <w:hyperlink w:anchor="_Toc11178396" w:history="1">
            <w:r w:rsidR="004C0429" w:rsidRPr="00304B12">
              <w:rPr>
                <w:rStyle w:val="Hipervnculo"/>
                <w:rFonts w:asciiTheme="majorHAnsi" w:hAnsiTheme="majorHAnsi"/>
                <w:noProof/>
              </w:rPr>
              <w:t>Capítulo I.</w:t>
            </w:r>
            <w:r w:rsidR="004C0429">
              <w:rPr>
                <w:rFonts w:eastAsiaTheme="minorEastAsia" w:cstheme="minorBidi"/>
                <w:noProof/>
                <w:lang w:val="en-US"/>
              </w:rPr>
              <w:tab/>
            </w:r>
            <w:r w:rsidR="004C0429" w:rsidRPr="00304B12">
              <w:rPr>
                <w:rStyle w:val="Hipervnculo"/>
                <w:noProof/>
              </w:rPr>
              <w:t>Introducción</w:t>
            </w:r>
            <w:r w:rsidR="004C0429">
              <w:rPr>
                <w:noProof/>
                <w:webHidden/>
              </w:rPr>
              <w:tab/>
            </w:r>
            <w:r w:rsidR="004C0429">
              <w:rPr>
                <w:noProof/>
                <w:webHidden/>
              </w:rPr>
              <w:fldChar w:fldCharType="begin"/>
            </w:r>
            <w:r w:rsidR="004C0429">
              <w:rPr>
                <w:noProof/>
                <w:webHidden/>
              </w:rPr>
              <w:instrText xml:space="preserve"> PAGEREF _Toc11178396 \h </w:instrText>
            </w:r>
            <w:r w:rsidR="004C0429">
              <w:rPr>
                <w:noProof/>
                <w:webHidden/>
              </w:rPr>
            </w:r>
            <w:r w:rsidR="004C0429">
              <w:rPr>
                <w:noProof/>
                <w:webHidden/>
              </w:rPr>
              <w:fldChar w:fldCharType="separate"/>
            </w:r>
            <w:r w:rsidR="004C0429">
              <w:rPr>
                <w:noProof/>
                <w:webHidden/>
              </w:rPr>
              <w:t>6</w:t>
            </w:r>
            <w:r w:rsidR="004C0429">
              <w:rPr>
                <w:noProof/>
                <w:webHidden/>
              </w:rPr>
              <w:fldChar w:fldCharType="end"/>
            </w:r>
          </w:hyperlink>
        </w:p>
        <w:p w14:paraId="2508C04D" w14:textId="5CD136E5" w:rsidR="004C0429" w:rsidRDefault="00F21984">
          <w:pPr>
            <w:pStyle w:val="TDC1"/>
            <w:tabs>
              <w:tab w:val="left" w:pos="1320"/>
              <w:tab w:val="right" w:leader="dot" w:pos="8493"/>
            </w:tabs>
            <w:rPr>
              <w:rFonts w:eastAsiaTheme="minorEastAsia" w:cstheme="minorBidi"/>
              <w:noProof/>
              <w:lang w:val="en-US"/>
            </w:rPr>
          </w:pPr>
          <w:hyperlink w:anchor="_Toc11178397" w:history="1">
            <w:r w:rsidR="004C0429" w:rsidRPr="00304B12">
              <w:rPr>
                <w:rStyle w:val="Hipervnculo"/>
                <w:rFonts w:asciiTheme="majorHAnsi" w:hAnsiTheme="majorHAnsi"/>
                <w:noProof/>
              </w:rPr>
              <w:t>Capítulo II.</w:t>
            </w:r>
            <w:r w:rsidR="004C0429">
              <w:rPr>
                <w:rFonts w:eastAsiaTheme="minorEastAsia" w:cstheme="minorBidi"/>
                <w:noProof/>
                <w:lang w:val="en-US"/>
              </w:rPr>
              <w:tab/>
            </w:r>
            <w:r w:rsidR="004C0429" w:rsidRPr="00304B12">
              <w:rPr>
                <w:rStyle w:val="Hipervnculo"/>
                <w:noProof/>
              </w:rPr>
              <w:t>Marco Teórico</w:t>
            </w:r>
            <w:r w:rsidR="004C0429">
              <w:rPr>
                <w:noProof/>
                <w:webHidden/>
              </w:rPr>
              <w:tab/>
            </w:r>
            <w:r w:rsidR="004C0429">
              <w:rPr>
                <w:noProof/>
                <w:webHidden/>
              </w:rPr>
              <w:fldChar w:fldCharType="begin"/>
            </w:r>
            <w:r w:rsidR="004C0429">
              <w:rPr>
                <w:noProof/>
                <w:webHidden/>
              </w:rPr>
              <w:instrText xml:space="preserve"> PAGEREF _Toc11178397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BC60E75" w14:textId="2AFF251A" w:rsidR="004C0429" w:rsidRDefault="00F21984">
          <w:pPr>
            <w:pStyle w:val="TDC2"/>
            <w:tabs>
              <w:tab w:val="left" w:pos="660"/>
              <w:tab w:val="right" w:leader="dot" w:pos="8493"/>
            </w:tabs>
            <w:rPr>
              <w:rFonts w:eastAsiaTheme="minorEastAsia" w:cstheme="minorBidi"/>
              <w:noProof/>
              <w:lang w:val="en-US"/>
            </w:rPr>
          </w:pPr>
          <w:hyperlink w:anchor="_Toc1117839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Revisión de la literatura</w:t>
            </w:r>
            <w:r w:rsidR="004C0429">
              <w:rPr>
                <w:noProof/>
                <w:webHidden/>
              </w:rPr>
              <w:tab/>
            </w:r>
            <w:r w:rsidR="004C0429">
              <w:rPr>
                <w:noProof/>
                <w:webHidden/>
              </w:rPr>
              <w:fldChar w:fldCharType="begin"/>
            </w:r>
            <w:r w:rsidR="004C0429">
              <w:rPr>
                <w:noProof/>
                <w:webHidden/>
              </w:rPr>
              <w:instrText xml:space="preserve"> PAGEREF _Toc11178398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8257917" w14:textId="4C95F2ED" w:rsidR="004C0429" w:rsidRDefault="00F21984">
          <w:pPr>
            <w:pStyle w:val="TDC2"/>
            <w:tabs>
              <w:tab w:val="left" w:pos="660"/>
              <w:tab w:val="right" w:leader="dot" w:pos="8493"/>
            </w:tabs>
            <w:rPr>
              <w:rFonts w:eastAsiaTheme="minorEastAsia" w:cstheme="minorBidi"/>
              <w:noProof/>
              <w:lang w:val="en-US"/>
            </w:rPr>
          </w:pPr>
          <w:hyperlink w:anchor="_Toc11178401"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Modelos de econometría espacial</w:t>
            </w:r>
            <w:r w:rsidR="004C0429">
              <w:rPr>
                <w:noProof/>
                <w:webHidden/>
              </w:rPr>
              <w:tab/>
            </w:r>
            <w:r w:rsidR="004C0429">
              <w:rPr>
                <w:noProof/>
                <w:webHidden/>
              </w:rPr>
              <w:fldChar w:fldCharType="begin"/>
            </w:r>
            <w:r w:rsidR="004C0429">
              <w:rPr>
                <w:noProof/>
                <w:webHidden/>
              </w:rPr>
              <w:instrText xml:space="preserve"> PAGEREF _Toc11178401 \h </w:instrText>
            </w:r>
            <w:r w:rsidR="004C0429">
              <w:rPr>
                <w:noProof/>
                <w:webHidden/>
              </w:rPr>
            </w:r>
            <w:r w:rsidR="004C0429">
              <w:rPr>
                <w:noProof/>
                <w:webHidden/>
              </w:rPr>
              <w:fldChar w:fldCharType="separate"/>
            </w:r>
            <w:r w:rsidR="004C0429">
              <w:rPr>
                <w:noProof/>
                <w:webHidden/>
              </w:rPr>
              <w:t>9</w:t>
            </w:r>
            <w:r w:rsidR="004C0429">
              <w:rPr>
                <w:noProof/>
                <w:webHidden/>
              </w:rPr>
              <w:fldChar w:fldCharType="end"/>
            </w:r>
          </w:hyperlink>
        </w:p>
        <w:p w14:paraId="30A35859" w14:textId="3F0B9121" w:rsidR="004C0429" w:rsidRDefault="00F21984">
          <w:pPr>
            <w:pStyle w:val="TDC3"/>
            <w:tabs>
              <w:tab w:val="left" w:pos="1100"/>
              <w:tab w:val="right" w:leader="dot" w:pos="8493"/>
            </w:tabs>
            <w:rPr>
              <w:rFonts w:eastAsiaTheme="minorEastAsia" w:cstheme="minorBidi"/>
              <w:noProof/>
              <w:lang w:val="en-US"/>
            </w:rPr>
          </w:pPr>
          <w:hyperlink w:anchor="_Toc11178403"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Interpretación de parámetros en presencia de rezago espacial</w:t>
            </w:r>
            <w:r w:rsidR="004C0429">
              <w:rPr>
                <w:noProof/>
                <w:webHidden/>
              </w:rPr>
              <w:tab/>
            </w:r>
            <w:r w:rsidR="004C0429">
              <w:rPr>
                <w:noProof/>
                <w:webHidden/>
              </w:rPr>
              <w:fldChar w:fldCharType="begin"/>
            </w:r>
            <w:r w:rsidR="004C0429">
              <w:rPr>
                <w:noProof/>
                <w:webHidden/>
              </w:rPr>
              <w:instrText xml:space="preserve"> PAGEREF _Toc11178403 \h </w:instrText>
            </w:r>
            <w:r w:rsidR="004C0429">
              <w:rPr>
                <w:noProof/>
                <w:webHidden/>
              </w:rPr>
            </w:r>
            <w:r w:rsidR="004C0429">
              <w:rPr>
                <w:noProof/>
                <w:webHidden/>
              </w:rPr>
              <w:fldChar w:fldCharType="separate"/>
            </w:r>
            <w:r w:rsidR="004C0429">
              <w:rPr>
                <w:noProof/>
                <w:webHidden/>
              </w:rPr>
              <w:t>12</w:t>
            </w:r>
            <w:r w:rsidR="004C0429">
              <w:rPr>
                <w:noProof/>
                <w:webHidden/>
              </w:rPr>
              <w:fldChar w:fldCharType="end"/>
            </w:r>
          </w:hyperlink>
        </w:p>
        <w:p w14:paraId="058124E1" w14:textId="6B1C95C4" w:rsidR="004C0429" w:rsidRDefault="00F21984">
          <w:pPr>
            <w:pStyle w:val="TDC3"/>
            <w:tabs>
              <w:tab w:val="left" w:pos="1100"/>
              <w:tab w:val="right" w:leader="dot" w:pos="8493"/>
            </w:tabs>
            <w:rPr>
              <w:rFonts w:eastAsiaTheme="minorEastAsia" w:cstheme="minorBidi"/>
              <w:noProof/>
              <w:lang w:val="en-US"/>
            </w:rPr>
          </w:pPr>
          <w:hyperlink w:anchor="_Toc11178404"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Selección de la matriz de pesos espaciales</w:t>
            </w:r>
            <w:r w:rsidR="004C0429">
              <w:rPr>
                <w:noProof/>
                <w:webHidden/>
              </w:rPr>
              <w:tab/>
            </w:r>
            <w:r w:rsidR="004C0429">
              <w:rPr>
                <w:noProof/>
                <w:webHidden/>
              </w:rPr>
              <w:fldChar w:fldCharType="begin"/>
            </w:r>
            <w:r w:rsidR="004C0429">
              <w:rPr>
                <w:noProof/>
                <w:webHidden/>
              </w:rPr>
              <w:instrText xml:space="preserve"> PAGEREF _Toc11178404 \h </w:instrText>
            </w:r>
            <w:r w:rsidR="004C0429">
              <w:rPr>
                <w:noProof/>
                <w:webHidden/>
              </w:rPr>
            </w:r>
            <w:r w:rsidR="004C0429">
              <w:rPr>
                <w:noProof/>
                <w:webHidden/>
              </w:rPr>
              <w:fldChar w:fldCharType="separate"/>
            </w:r>
            <w:r w:rsidR="004C0429">
              <w:rPr>
                <w:noProof/>
                <w:webHidden/>
              </w:rPr>
              <w:t>13</w:t>
            </w:r>
            <w:r w:rsidR="004C0429">
              <w:rPr>
                <w:noProof/>
                <w:webHidden/>
              </w:rPr>
              <w:fldChar w:fldCharType="end"/>
            </w:r>
          </w:hyperlink>
        </w:p>
        <w:p w14:paraId="46707759" w14:textId="49290478" w:rsidR="004C0429" w:rsidRDefault="00F21984">
          <w:pPr>
            <w:pStyle w:val="TDC1"/>
            <w:tabs>
              <w:tab w:val="left" w:pos="1320"/>
              <w:tab w:val="right" w:leader="dot" w:pos="8493"/>
            </w:tabs>
            <w:rPr>
              <w:rFonts w:eastAsiaTheme="minorEastAsia" w:cstheme="minorBidi"/>
              <w:noProof/>
              <w:lang w:val="en-US"/>
            </w:rPr>
          </w:pPr>
          <w:hyperlink w:anchor="_Toc11178405" w:history="1">
            <w:r w:rsidR="004C0429" w:rsidRPr="00304B12">
              <w:rPr>
                <w:rStyle w:val="Hipervnculo"/>
                <w:rFonts w:asciiTheme="majorHAnsi" w:hAnsiTheme="majorHAnsi"/>
                <w:noProof/>
              </w:rPr>
              <w:t>Capítulo III.</w:t>
            </w:r>
            <w:r w:rsidR="004C0429">
              <w:rPr>
                <w:rFonts w:eastAsiaTheme="minorEastAsia" w:cstheme="minorBidi"/>
                <w:noProof/>
                <w:lang w:val="en-US"/>
              </w:rPr>
              <w:tab/>
            </w:r>
            <w:r w:rsidR="004C0429" w:rsidRPr="00304B12">
              <w:rPr>
                <w:rStyle w:val="Hipervnculo"/>
                <w:noProof/>
              </w:rPr>
              <w:t>Mercado de combustibles líquidos</w:t>
            </w:r>
            <w:r w:rsidR="004C0429">
              <w:rPr>
                <w:noProof/>
                <w:webHidden/>
              </w:rPr>
              <w:tab/>
            </w:r>
            <w:r w:rsidR="004C0429">
              <w:rPr>
                <w:noProof/>
                <w:webHidden/>
              </w:rPr>
              <w:fldChar w:fldCharType="begin"/>
            </w:r>
            <w:r w:rsidR="004C0429">
              <w:rPr>
                <w:noProof/>
                <w:webHidden/>
              </w:rPr>
              <w:instrText xml:space="preserve"> PAGEREF _Toc11178405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639F603B" w14:textId="637313B4" w:rsidR="004C0429" w:rsidRDefault="00F21984">
          <w:pPr>
            <w:pStyle w:val="TDC2"/>
            <w:tabs>
              <w:tab w:val="left" w:pos="660"/>
              <w:tab w:val="right" w:leader="dot" w:pos="8493"/>
            </w:tabs>
            <w:rPr>
              <w:rFonts w:eastAsiaTheme="minorEastAsia" w:cstheme="minorBidi"/>
              <w:noProof/>
              <w:lang w:val="en-US"/>
            </w:rPr>
          </w:pPr>
          <w:hyperlink w:anchor="_Toc11178406"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Generalidades sobre el mercado de combustibles líquidos</w:t>
            </w:r>
            <w:r w:rsidR="004C0429">
              <w:rPr>
                <w:noProof/>
                <w:webHidden/>
              </w:rPr>
              <w:tab/>
            </w:r>
            <w:r w:rsidR="004C0429">
              <w:rPr>
                <w:noProof/>
                <w:webHidden/>
              </w:rPr>
              <w:fldChar w:fldCharType="begin"/>
            </w:r>
            <w:r w:rsidR="004C0429">
              <w:rPr>
                <w:noProof/>
                <w:webHidden/>
              </w:rPr>
              <w:instrText xml:space="preserve"> PAGEREF _Toc11178406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743B9B89" w14:textId="0DF95FA5" w:rsidR="004C0429" w:rsidRDefault="00F21984">
          <w:pPr>
            <w:pStyle w:val="TDC2"/>
            <w:tabs>
              <w:tab w:val="left" w:pos="660"/>
              <w:tab w:val="right" w:leader="dot" w:pos="8493"/>
            </w:tabs>
            <w:rPr>
              <w:rFonts w:eastAsiaTheme="minorEastAsia" w:cstheme="minorBidi"/>
              <w:noProof/>
              <w:lang w:val="en-US"/>
            </w:rPr>
          </w:pPr>
          <w:hyperlink w:anchor="_Toc11178407"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Mercado de combustibles líquidos en Lima Metropolitana</w:t>
            </w:r>
            <w:r w:rsidR="004C0429">
              <w:rPr>
                <w:noProof/>
                <w:webHidden/>
              </w:rPr>
              <w:tab/>
            </w:r>
            <w:r w:rsidR="004C0429">
              <w:rPr>
                <w:noProof/>
                <w:webHidden/>
              </w:rPr>
              <w:fldChar w:fldCharType="begin"/>
            </w:r>
            <w:r w:rsidR="004C0429">
              <w:rPr>
                <w:noProof/>
                <w:webHidden/>
              </w:rPr>
              <w:instrText xml:space="preserve"> PAGEREF _Toc11178407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2DCACA63" w14:textId="371D703E" w:rsidR="004C0429" w:rsidRDefault="00F21984">
          <w:pPr>
            <w:pStyle w:val="TDC1"/>
            <w:tabs>
              <w:tab w:val="left" w:pos="1320"/>
              <w:tab w:val="right" w:leader="dot" w:pos="8493"/>
            </w:tabs>
            <w:rPr>
              <w:rFonts w:eastAsiaTheme="minorEastAsia" w:cstheme="minorBidi"/>
              <w:noProof/>
              <w:lang w:val="en-US"/>
            </w:rPr>
          </w:pPr>
          <w:hyperlink w:anchor="_Toc11178408" w:history="1">
            <w:r w:rsidR="004C0429" w:rsidRPr="00304B12">
              <w:rPr>
                <w:rStyle w:val="Hipervnculo"/>
                <w:rFonts w:asciiTheme="majorHAnsi" w:hAnsiTheme="majorHAnsi"/>
                <w:noProof/>
              </w:rPr>
              <w:t>Capítulo IV.</w:t>
            </w:r>
            <w:r w:rsidR="004C0429">
              <w:rPr>
                <w:rFonts w:eastAsiaTheme="minorEastAsia" w:cstheme="minorBidi"/>
                <w:noProof/>
                <w:lang w:val="en-US"/>
              </w:rPr>
              <w:tab/>
            </w:r>
            <w:r w:rsidR="004C0429" w:rsidRPr="00304B12">
              <w:rPr>
                <w:rStyle w:val="Hipervnculo"/>
                <w:noProof/>
              </w:rPr>
              <w:t>Metodología</w:t>
            </w:r>
            <w:r w:rsidR="004C0429">
              <w:rPr>
                <w:noProof/>
                <w:webHidden/>
              </w:rPr>
              <w:tab/>
            </w:r>
            <w:r w:rsidR="004C0429">
              <w:rPr>
                <w:noProof/>
                <w:webHidden/>
              </w:rPr>
              <w:fldChar w:fldCharType="begin"/>
            </w:r>
            <w:r w:rsidR="004C0429">
              <w:rPr>
                <w:noProof/>
                <w:webHidden/>
              </w:rPr>
              <w:instrText xml:space="preserve"> PAGEREF _Toc11178408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57C2F5EE" w14:textId="046F25D7" w:rsidR="004C0429" w:rsidRDefault="00F21984">
          <w:pPr>
            <w:pStyle w:val="TDC2"/>
            <w:tabs>
              <w:tab w:val="left" w:pos="660"/>
              <w:tab w:val="right" w:leader="dot" w:pos="8493"/>
            </w:tabs>
            <w:rPr>
              <w:rFonts w:eastAsiaTheme="minorEastAsia" w:cstheme="minorBidi"/>
              <w:noProof/>
              <w:lang w:val="en-US"/>
            </w:rPr>
          </w:pPr>
          <w:hyperlink w:anchor="_Toc11178409"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Datos utilizados</w:t>
            </w:r>
            <w:r w:rsidR="004C0429">
              <w:rPr>
                <w:noProof/>
                <w:webHidden/>
              </w:rPr>
              <w:tab/>
            </w:r>
            <w:r w:rsidR="004C0429">
              <w:rPr>
                <w:noProof/>
                <w:webHidden/>
              </w:rPr>
              <w:fldChar w:fldCharType="begin"/>
            </w:r>
            <w:r w:rsidR="004C0429">
              <w:rPr>
                <w:noProof/>
                <w:webHidden/>
              </w:rPr>
              <w:instrText xml:space="preserve"> PAGEREF _Toc11178409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6D618D9D" w14:textId="7BCE08EF" w:rsidR="004C0429" w:rsidRDefault="00F21984">
          <w:pPr>
            <w:pStyle w:val="TDC2"/>
            <w:tabs>
              <w:tab w:val="left" w:pos="660"/>
              <w:tab w:val="right" w:leader="dot" w:pos="8493"/>
            </w:tabs>
            <w:rPr>
              <w:rFonts w:eastAsiaTheme="minorEastAsia" w:cstheme="minorBidi"/>
              <w:noProof/>
              <w:lang w:val="en-US"/>
            </w:rPr>
          </w:pPr>
          <w:hyperlink w:anchor="_Toc11178410"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Definición de mercados</w:t>
            </w:r>
            <w:r w:rsidR="004C0429">
              <w:rPr>
                <w:noProof/>
                <w:webHidden/>
              </w:rPr>
              <w:tab/>
            </w:r>
            <w:r w:rsidR="004C0429">
              <w:rPr>
                <w:noProof/>
                <w:webHidden/>
              </w:rPr>
              <w:fldChar w:fldCharType="begin"/>
            </w:r>
            <w:r w:rsidR="004C0429">
              <w:rPr>
                <w:noProof/>
                <w:webHidden/>
              </w:rPr>
              <w:instrText xml:space="preserve"> PAGEREF _Toc11178410 \h </w:instrText>
            </w:r>
            <w:r w:rsidR="004C0429">
              <w:rPr>
                <w:noProof/>
                <w:webHidden/>
              </w:rPr>
            </w:r>
            <w:r w:rsidR="004C0429">
              <w:rPr>
                <w:noProof/>
                <w:webHidden/>
              </w:rPr>
              <w:fldChar w:fldCharType="separate"/>
            </w:r>
            <w:r w:rsidR="004C0429">
              <w:rPr>
                <w:noProof/>
                <w:webHidden/>
              </w:rPr>
              <w:t>21</w:t>
            </w:r>
            <w:r w:rsidR="004C0429">
              <w:rPr>
                <w:noProof/>
                <w:webHidden/>
              </w:rPr>
              <w:fldChar w:fldCharType="end"/>
            </w:r>
          </w:hyperlink>
        </w:p>
        <w:p w14:paraId="5282BE4A" w14:textId="3DF772F8" w:rsidR="004C0429" w:rsidRDefault="00F21984">
          <w:pPr>
            <w:pStyle w:val="TDC2"/>
            <w:tabs>
              <w:tab w:val="left" w:pos="660"/>
              <w:tab w:val="right" w:leader="dot" w:pos="8493"/>
            </w:tabs>
            <w:rPr>
              <w:rFonts w:eastAsiaTheme="minorEastAsia" w:cstheme="minorBidi"/>
              <w:noProof/>
              <w:lang w:val="en-US"/>
            </w:rPr>
          </w:pPr>
          <w:hyperlink w:anchor="_Toc11178411" w:history="1">
            <w:r w:rsidR="004C0429" w:rsidRPr="00304B12">
              <w:rPr>
                <w:rStyle w:val="Hipervnculo"/>
                <w:rFonts w:ascii="Times New Roman" w:hAnsi="Times New Roman"/>
                <w:noProof/>
              </w:rPr>
              <w:t>3.</w:t>
            </w:r>
            <w:r w:rsidR="004C0429">
              <w:rPr>
                <w:rFonts w:eastAsiaTheme="minorEastAsia" w:cstheme="minorBidi"/>
                <w:noProof/>
                <w:lang w:val="en-US"/>
              </w:rPr>
              <w:tab/>
            </w:r>
            <w:r w:rsidR="004C0429" w:rsidRPr="00304B12">
              <w:rPr>
                <w:rStyle w:val="Hipervnculo"/>
                <w:noProof/>
              </w:rPr>
              <w:t>Definición de variables</w:t>
            </w:r>
            <w:r w:rsidR="004C0429">
              <w:rPr>
                <w:noProof/>
                <w:webHidden/>
              </w:rPr>
              <w:tab/>
            </w:r>
            <w:r w:rsidR="004C0429">
              <w:rPr>
                <w:noProof/>
                <w:webHidden/>
              </w:rPr>
              <w:fldChar w:fldCharType="begin"/>
            </w:r>
            <w:r w:rsidR="004C0429">
              <w:rPr>
                <w:noProof/>
                <w:webHidden/>
              </w:rPr>
              <w:instrText xml:space="preserve"> PAGEREF _Toc11178411 \h </w:instrText>
            </w:r>
            <w:r w:rsidR="004C0429">
              <w:rPr>
                <w:noProof/>
                <w:webHidden/>
              </w:rPr>
            </w:r>
            <w:r w:rsidR="004C0429">
              <w:rPr>
                <w:noProof/>
                <w:webHidden/>
              </w:rPr>
              <w:fldChar w:fldCharType="separate"/>
            </w:r>
            <w:r w:rsidR="004C0429">
              <w:rPr>
                <w:noProof/>
                <w:webHidden/>
              </w:rPr>
              <w:t>22</w:t>
            </w:r>
            <w:r w:rsidR="004C0429">
              <w:rPr>
                <w:noProof/>
                <w:webHidden/>
              </w:rPr>
              <w:fldChar w:fldCharType="end"/>
            </w:r>
          </w:hyperlink>
        </w:p>
        <w:p w14:paraId="7CCAF944" w14:textId="0981D6ED" w:rsidR="004C0429" w:rsidRDefault="00F21984">
          <w:pPr>
            <w:pStyle w:val="TDC2"/>
            <w:tabs>
              <w:tab w:val="left" w:pos="660"/>
              <w:tab w:val="right" w:leader="dot" w:pos="8493"/>
            </w:tabs>
            <w:rPr>
              <w:rFonts w:eastAsiaTheme="minorEastAsia" w:cstheme="minorBidi"/>
              <w:noProof/>
              <w:lang w:val="en-US"/>
            </w:rPr>
          </w:pPr>
          <w:hyperlink w:anchor="_Toc11178412" w:history="1">
            <w:r w:rsidR="004C0429" w:rsidRPr="00304B12">
              <w:rPr>
                <w:rStyle w:val="Hipervnculo"/>
                <w:rFonts w:ascii="Times New Roman" w:hAnsi="Times New Roman"/>
                <w:noProof/>
              </w:rPr>
              <w:t>4.</w:t>
            </w:r>
            <w:r w:rsidR="004C0429">
              <w:rPr>
                <w:rFonts w:eastAsiaTheme="minorEastAsia" w:cstheme="minorBidi"/>
                <w:noProof/>
                <w:lang w:val="en-US"/>
              </w:rPr>
              <w:tab/>
            </w:r>
            <w:r w:rsidR="004C0429" w:rsidRPr="00304B12">
              <w:rPr>
                <w:rStyle w:val="Hipervnculo"/>
                <w:noProof/>
              </w:rPr>
              <w:t>Regresiones a estimar</w:t>
            </w:r>
            <w:r w:rsidR="004C0429">
              <w:rPr>
                <w:noProof/>
                <w:webHidden/>
              </w:rPr>
              <w:tab/>
            </w:r>
            <w:r w:rsidR="004C0429">
              <w:rPr>
                <w:noProof/>
                <w:webHidden/>
              </w:rPr>
              <w:fldChar w:fldCharType="begin"/>
            </w:r>
            <w:r w:rsidR="004C0429">
              <w:rPr>
                <w:noProof/>
                <w:webHidden/>
              </w:rPr>
              <w:instrText xml:space="preserve"> PAGEREF _Toc11178412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11C9A47C" w14:textId="018ECC52" w:rsidR="004C0429" w:rsidRDefault="00F21984">
          <w:pPr>
            <w:pStyle w:val="TDC3"/>
            <w:tabs>
              <w:tab w:val="left" w:pos="1100"/>
              <w:tab w:val="right" w:leader="dot" w:pos="8493"/>
            </w:tabs>
            <w:rPr>
              <w:rFonts w:eastAsiaTheme="minorEastAsia" w:cstheme="minorBidi"/>
              <w:noProof/>
              <w:lang w:val="en-US"/>
            </w:rPr>
          </w:pPr>
          <w:hyperlink w:anchor="_Toc11178413" w:history="1">
            <w:r w:rsidR="004C0429" w:rsidRPr="00304B12">
              <w:rPr>
                <w:rStyle w:val="Hipervnculo"/>
                <w:rFonts w:asciiTheme="majorHAnsi" w:hAnsiTheme="majorHAnsi"/>
                <w:noProof/>
              </w:rPr>
              <w:t>4.1.</w:t>
            </w:r>
            <w:r w:rsidR="004C0429">
              <w:rPr>
                <w:rFonts w:eastAsiaTheme="minorEastAsia" w:cstheme="minorBidi"/>
                <w:noProof/>
                <w:lang w:val="en-US"/>
              </w:rPr>
              <w:tab/>
            </w:r>
            <w:r w:rsidR="004C0429" w:rsidRPr="00304B12">
              <w:rPr>
                <w:rStyle w:val="Hipervnculo"/>
                <w:noProof/>
              </w:rPr>
              <w:t>Estimación del efecto de adquisición de una cadena de estaciones</w:t>
            </w:r>
            <w:r w:rsidR="004C0429">
              <w:rPr>
                <w:noProof/>
                <w:webHidden/>
              </w:rPr>
              <w:tab/>
            </w:r>
            <w:r w:rsidR="004C0429">
              <w:rPr>
                <w:noProof/>
                <w:webHidden/>
              </w:rPr>
              <w:fldChar w:fldCharType="begin"/>
            </w:r>
            <w:r w:rsidR="004C0429">
              <w:rPr>
                <w:noProof/>
                <w:webHidden/>
              </w:rPr>
              <w:instrText xml:space="preserve"> PAGEREF _Toc11178413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7FB7E968" w14:textId="7CE923B4" w:rsidR="004C0429" w:rsidRDefault="00F21984">
          <w:pPr>
            <w:pStyle w:val="TDC3"/>
            <w:tabs>
              <w:tab w:val="left" w:pos="1100"/>
              <w:tab w:val="right" w:leader="dot" w:pos="8493"/>
            </w:tabs>
            <w:rPr>
              <w:rFonts w:eastAsiaTheme="minorEastAsia" w:cstheme="minorBidi"/>
              <w:noProof/>
              <w:lang w:val="en-US"/>
            </w:rPr>
          </w:pPr>
          <w:hyperlink w:anchor="_Toc11178414" w:history="1">
            <w:r w:rsidR="004C0429" w:rsidRPr="00304B12">
              <w:rPr>
                <w:rStyle w:val="Hipervnculo"/>
                <w:rFonts w:asciiTheme="majorHAnsi" w:hAnsiTheme="majorHAnsi"/>
                <w:noProof/>
              </w:rPr>
              <w:t>4.2.</w:t>
            </w:r>
            <w:r w:rsidR="004C0429">
              <w:rPr>
                <w:rFonts w:eastAsiaTheme="minorEastAsia" w:cstheme="minorBidi"/>
                <w:noProof/>
                <w:lang w:val="en-US"/>
              </w:rPr>
              <w:tab/>
            </w:r>
            <w:r w:rsidR="004C0429" w:rsidRPr="00304B12">
              <w:rPr>
                <w:rStyle w:val="Hipervnculo"/>
                <w:noProof/>
              </w:rPr>
              <w:t>Estimación del efecto de adquisición estimado por Diferencias-en-Diferencias</w:t>
            </w:r>
            <w:r w:rsidR="004C0429">
              <w:rPr>
                <w:noProof/>
                <w:webHidden/>
              </w:rPr>
              <w:tab/>
            </w:r>
            <w:r w:rsidR="004C0429">
              <w:rPr>
                <w:noProof/>
                <w:webHidden/>
              </w:rPr>
              <w:fldChar w:fldCharType="begin"/>
            </w:r>
            <w:r w:rsidR="004C0429">
              <w:rPr>
                <w:noProof/>
                <w:webHidden/>
              </w:rPr>
              <w:instrText xml:space="preserve"> PAGEREF _Toc11178414 \h </w:instrText>
            </w:r>
            <w:r w:rsidR="004C0429">
              <w:rPr>
                <w:noProof/>
                <w:webHidden/>
              </w:rPr>
            </w:r>
            <w:r w:rsidR="004C0429">
              <w:rPr>
                <w:noProof/>
                <w:webHidden/>
              </w:rPr>
              <w:fldChar w:fldCharType="separate"/>
            </w:r>
            <w:r w:rsidR="004C0429">
              <w:rPr>
                <w:noProof/>
                <w:webHidden/>
              </w:rPr>
              <w:t>24</w:t>
            </w:r>
            <w:r w:rsidR="004C0429">
              <w:rPr>
                <w:noProof/>
                <w:webHidden/>
              </w:rPr>
              <w:fldChar w:fldCharType="end"/>
            </w:r>
          </w:hyperlink>
        </w:p>
        <w:p w14:paraId="4D823C1B" w14:textId="567CC6B1" w:rsidR="004C0429" w:rsidRDefault="00F21984">
          <w:pPr>
            <w:pStyle w:val="TDC1"/>
            <w:tabs>
              <w:tab w:val="left" w:pos="1320"/>
              <w:tab w:val="right" w:leader="dot" w:pos="8493"/>
            </w:tabs>
            <w:rPr>
              <w:rFonts w:eastAsiaTheme="minorEastAsia" w:cstheme="minorBidi"/>
              <w:noProof/>
              <w:lang w:val="en-US"/>
            </w:rPr>
          </w:pPr>
          <w:hyperlink w:anchor="_Toc11178415" w:history="1">
            <w:r w:rsidR="004C0429" w:rsidRPr="00304B12">
              <w:rPr>
                <w:rStyle w:val="Hipervnculo"/>
                <w:rFonts w:asciiTheme="majorHAnsi" w:hAnsiTheme="majorHAnsi"/>
                <w:noProof/>
              </w:rPr>
              <w:t>Capítulo V.</w:t>
            </w:r>
            <w:r w:rsidR="004C0429">
              <w:rPr>
                <w:rFonts w:eastAsiaTheme="minorEastAsia" w:cstheme="minorBidi"/>
                <w:noProof/>
                <w:lang w:val="en-US"/>
              </w:rPr>
              <w:tab/>
            </w:r>
            <w:r w:rsidR="004C0429" w:rsidRPr="00304B12">
              <w:rPr>
                <w:rStyle w:val="Hipervnculo"/>
                <w:noProof/>
              </w:rPr>
              <w:t>Resultados y Discusión</w:t>
            </w:r>
            <w:r w:rsidR="004C0429">
              <w:rPr>
                <w:noProof/>
                <w:webHidden/>
              </w:rPr>
              <w:tab/>
            </w:r>
            <w:r w:rsidR="004C0429">
              <w:rPr>
                <w:noProof/>
                <w:webHidden/>
              </w:rPr>
              <w:fldChar w:fldCharType="begin"/>
            </w:r>
            <w:r w:rsidR="004C0429">
              <w:rPr>
                <w:noProof/>
                <w:webHidden/>
              </w:rPr>
              <w:instrText xml:space="preserve"> PAGEREF _Toc11178415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1848C56E" w14:textId="4C643999" w:rsidR="004C0429" w:rsidRDefault="00F21984">
          <w:pPr>
            <w:pStyle w:val="TDC2"/>
            <w:tabs>
              <w:tab w:val="left" w:pos="660"/>
              <w:tab w:val="right" w:leader="dot" w:pos="8493"/>
            </w:tabs>
            <w:rPr>
              <w:rFonts w:eastAsiaTheme="minorEastAsia" w:cstheme="minorBidi"/>
              <w:noProof/>
              <w:lang w:val="en-US"/>
            </w:rPr>
          </w:pPr>
          <w:hyperlink w:anchor="_Toc1117911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Estimación por efectos fijos</w:t>
            </w:r>
            <w:r w:rsidR="004C0429">
              <w:rPr>
                <w:noProof/>
                <w:webHidden/>
              </w:rPr>
              <w:tab/>
            </w:r>
            <w:r w:rsidR="004C0429">
              <w:rPr>
                <w:noProof/>
                <w:webHidden/>
              </w:rPr>
              <w:fldChar w:fldCharType="begin"/>
            </w:r>
            <w:r w:rsidR="004C0429">
              <w:rPr>
                <w:noProof/>
                <w:webHidden/>
              </w:rPr>
              <w:instrText xml:space="preserve"> PAGEREF _Toc11179118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3ACADCD6" w14:textId="4806F228" w:rsidR="004C0429" w:rsidRDefault="00F21984">
          <w:pPr>
            <w:pStyle w:val="TDC2"/>
            <w:tabs>
              <w:tab w:val="left" w:pos="660"/>
              <w:tab w:val="right" w:leader="dot" w:pos="8493"/>
            </w:tabs>
            <w:rPr>
              <w:rFonts w:eastAsiaTheme="minorEastAsia" w:cstheme="minorBidi"/>
              <w:noProof/>
              <w:lang w:val="en-US"/>
            </w:rPr>
          </w:pPr>
          <w:hyperlink w:anchor="_Toc11179119"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Estimación utilizando diferencias-en-diferencias</w:t>
            </w:r>
            <w:r w:rsidR="004C0429">
              <w:rPr>
                <w:noProof/>
                <w:webHidden/>
              </w:rPr>
              <w:tab/>
            </w:r>
            <w:r w:rsidR="004C0429">
              <w:rPr>
                <w:noProof/>
                <w:webHidden/>
              </w:rPr>
              <w:fldChar w:fldCharType="begin"/>
            </w:r>
            <w:r w:rsidR="004C0429">
              <w:rPr>
                <w:noProof/>
                <w:webHidden/>
              </w:rPr>
              <w:instrText xml:space="preserve"> PAGEREF _Toc11179119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1386C959" w14:textId="7494E208" w:rsidR="004C0429" w:rsidRDefault="00F21984">
          <w:pPr>
            <w:pStyle w:val="TDC3"/>
            <w:tabs>
              <w:tab w:val="left" w:pos="1100"/>
              <w:tab w:val="right" w:leader="dot" w:pos="8493"/>
            </w:tabs>
            <w:rPr>
              <w:rFonts w:eastAsiaTheme="minorEastAsia" w:cstheme="minorBidi"/>
              <w:noProof/>
              <w:lang w:val="en-US"/>
            </w:rPr>
          </w:pPr>
          <w:hyperlink w:anchor="_Toc11179120"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Efecto de la compra sobre los precios de las estaciones</w:t>
            </w:r>
            <w:r w:rsidR="004C0429">
              <w:rPr>
                <w:noProof/>
                <w:webHidden/>
              </w:rPr>
              <w:tab/>
            </w:r>
            <w:r w:rsidR="004C0429">
              <w:rPr>
                <w:noProof/>
                <w:webHidden/>
              </w:rPr>
              <w:fldChar w:fldCharType="begin"/>
            </w:r>
            <w:r w:rsidR="004C0429">
              <w:rPr>
                <w:noProof/>
                <w:webHidden/>
              </w:rPr>
              <w:instrText xml:space="preserve"> PAGEREF _Toc11179120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34E71960" w14:textId="1BAD6518" w:rsidR="004C0429" w:rsidRDefault="00F21984">
          <w:pPr>
            <w:pStyle w:val="TDC3"/>
            <w:tabs>
              <w:tab w:val="left" w:pos="1100"/>
              <w:tab w:val="right" w:leader="dot" w:pos="8493"/>
            </w:tabs>
            <w:rPr>
              <w:rFonts w:eastAsiaTheme="minorEastAsia" w:cstheme="minorBidi"/>
              <w:noProof/>
              <w:lang w:val="en-US"/>
            </w:rPr>
          </w:pPr>
          <w:hyperlink w:anchor="_Toc11179121"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Efecto de la adquisición sobre los precios de estaciones vecinas</w:t>
            </w:r>
            <w:r w:rsidR="004C0429">
              <w:rPr>
                <w:noProof/>
                <w:webHidden/>
              </w:rPr>
              <w:tab/>
            </w:r>
            <w:r w:rsidR="004C0429">
              <w:rPr>
                <w:noProof/>
                <w:webHidden/>
              </w:rPr>
              <w:fldChar w:fldCharType="begin"/>
            </w:r>
            <w:r w:rsidR="004C0429">
              <w:rPr>
                <w:noProof/>
                <w:webHidden/>
              </w:rPr>
              <w:instrText xml:space="preserve"> PAGEREF _Toc11179121 \h </w:instrText>
            </w:r>
            <w:r w:rsidR="004C0429">
              <w:rPr>
                <w:noProof/>
                <w:webHidden/>
              </w:rPr>
            </w:r>
            <w:r w:rsidR="004C0429">
              <w:rPr>
                <w:noProof/>
                <w:webHidden/>
              </w:rPr>
              <w:fldChar w:fldCharType="separate"/>
            </w:r>
            <w:r w:rsidR="004C0429">
              <w:rPr>
                <w:noProof/>
                <w:webHidden/>
              </w:rPr>
              <w:t>31</w:t>
            </w:r>
            <w:r w:rsidR="004C0429">
              <w:rPr>
                <w:noProof/>
                <w:webHidden/>
              </w:rPr>
              <w:fldChar w:fldCharType="end"/>
            </w:r>
          </w:hyperlink>
        </w:p>
        <w:p w14:paraId="20C53AA3" w14:textId="6D9ABE53" w:rsidR="004C0429" w:rsidRDefault="00F21984">
          <w:pPr>
            <w:pStyle w:val="TDC1"/>
            <w:tabs>
              <w:tab w:val="left" w:pos="1320"/>
              <w:tab w:val="right" w:leader="dot" w:pos="8493"/>
            </w:tabs>
            <w:rPr>
              <w:rFonts w:eastAsiaTheme="minorEastAsia" w:cstheme="minorBidi"/>
              <w:noProof/>
              <w:lang w:val="en-US"/>
            </w:rPr>
          </w:pPr>
          <w:hyperlink w:anchor="_Toc11179122" w:history="1">
            <w:r w:rsidR="004C0429" w:rsidRPr="00304B12">
              <w:rPr>
                <w:rStyle w:val="Hipervnculo"/>
                <w:rFonts w:asciiTheme="majorHAnsi" w:hAnsiTheme="majorHAnsi"/>
                <w:noProof/>
              </w:rPr>
              <w:t>Capítulo VI.</w:t>
            </w:r>
            <w:r w:rsidR="004C0429">
              <w:rPr>
                <w:rFonts w:eastAsiaTheme="minorEastAsia" w:cstheme="minorBidi"/>
                <w:noProof/>
                <w:lang w:val="en-US"/>
              </w:rPr>
              <w:tab/>
            </w:r>
            <w:r w:rsidR="004C0429" w:rsidRPr="00304B12">
              <w:rPr>
                <w:rStyle w:val="Hipervnculo"/>
                <w:noProof/>
              </w:rPr>
              <w:t>Conclusiones y recomendaciones</w:t>
            </w:r>
            <w:r w:rsidR="004C0429">
              <w:rPr>
                <w:noProof/>
                <w:webHidden/>
              </w:rPr>
              <w:tab/>
            </w:r>
            <w:r w:rsidR="004C0429">
              <w:rPr>
                <w:noProof/>
                <w:webHidden/>
              </w:rPr>
              <w:fldChar w:fldCharType="begin"/>
            </w:r>
            <w:r w:rsidR="004C0429">
              <w:rPr>
                <w:noProof/>
                <w:webHidden/>
              </w:rPr>
              <w:instrText xml:space="preserve"> PAGEREF _Toc11179122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496752FC" w14:textId="7291620D" w:rsidR="004C0429" w:rsidRDefault="00F21984">
          <w:pPr>
            <w:pStyle w:val="TDC2"/>
            <w:tabs>
              <w:tab w:val="left" w:pos="660"/>
              <w:tab w:val="right" w:leader="dot" w:pos="8493"/>
            </w:tabs>
            <w:rPr>
              <w:rFonts w:eastAsiaTheme="minorEastAsia" w:cstheme="minorBidi"/>
              <w:noProof/>
              <w:lang w:val="en-US"/>
            </w:rPr>
          </w:pPr>
          <w:hyperlink w:anchor="_Toc11179123"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Conclusiones</w:t>
            </w:r>
            <w:r w:rsidR="004C0429">
              <w:rPr>
                <w:noProof/>
                <w:webHidden/>
              </w:rPr>
              <w:tab/>
            </w:r>
            <w:r w:rsidR="004C0429">
              <w:rPr>
                <w:noProof/>
                <w:webHidden/>
              </w:rPr>
              <w:fldChar w:fldCharType="begin"/>
            </w:r>
            <w:r w:rsidR="004C0429">
              <w:rPr>
                <w:noProof/>
                <w:webHidden/>
              </w:rPr>
              <w:instrText xml:space="preserve"> PAGEREF _Toc11179123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1BE76A3C" w14:textId="3A607096" w:rsidR="004C0429" w:rsidRDefault="00F21984">
          <w:pPr>
            <w:pStyle w:val="TDC2"/>
            <w:tabs>
              <w:tab w:val="left" w:pos="660"/>
              <w:tab w:val="right" w:leader="dot" w:pos="8493"/>
            </w:tabs>
            <w:rPr>
              <w:rFonts w:eastAsiaTheme="minorEastAsia" w:cstheme="minorBidi"/>
              <w:noProof/>
              <w:lang w:val="en-US"/>
            </w:rPr>
          </w:pPr>
          <w:hyperlink w:anchor="_Toc11179124"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Recomendaciones</w:t>
            </w:r>
            <w:r w:rsidR="004C0429">
              <w:rPr>
                <w:noProof/>
                <w:webHidden/>
              </w:rPr>
              <w:tab/>
            </w:r>
            <w:r w:rsidR="004C0429">
              <w:rPr>
                <w:noProof/>
                <w:webHidden/>
              </w:rPr>
              <w:fldChar w:fldCharType="begin"/>
            </w:r>
            <w:r w:rsidR="004C0429">
              <w:rPr>
                <w:noProof/>
                <w:webHidden/>
              </w:rPr>
              <w:instrText xml:space="preserve"> PAGEREF _Toc11179124 \h </w:instrText>
            </w:r>
            <w:r w:rsidR="004C0429">
              <w:rPr>
                <w:noProof/>
                <w:webHidden/>
              </w:rPr>
            </w:r>
            <w:r w:rsidR="004C0429">
              <w:rPr>
                <w:noProof/>
                <w:webHidden/>
              </w:rPr>
              <w:fldChar w:fldCharType="separate"/>
            </w:r>
            <w:r w:rsidR="004C0429">
              <w:rPr>
                <w:noProof/>
                <w:webHidden/>
              </w:rPr>
              <w:t>35</w:t>
            </w:r>
            <w:r w:rsidR="004C0429">
              <w:rPr>
                <w:noProof/>
                <w:webHidden/>
              </w:rPr>
              <w:fldChar w:fldCharType="end"/>
            </w:r>
          </w:hyperlink>
        </w:p>
        <w:p w14:paraId="17E34DBA" w14:textId="32021B0D" w:rsidR="004C0429" w:rsidRDefault="00F21984">
          <w:pPr>
            <w:pStyle w:val="TDC1"/>
            <w:tabs>
              <w:tab w:val="right" w:leader="dot" w:pos="8493"/>
            </w:tabs>
            <w:rPr>
              <w:rFonts w:eastAsiaTheme="minorEastAsia" w:cstheme="minorBidi"/>
              <w:noProof/>
              <w:lang w:val="en-US"/>
            </w:rPr>
          </w:pPr>
          <w:hyperlink w:anchor="_Toc11179125" w:history="1">
            <w:r w:rsidR="004C0429" w:rsidRPr="00304B12">
              <w:rPr>
                <w:rStyle w:val="Hipervnculo"/>
                <w:noProof/>
              </w:rPr>
              <w:t>Anexos</w:t>
            </w:r>
            <w:r w:rsidR="004C0429">
              <w:rPr>
                <w:noProof/>
                <w:webHidden/>
              </w:rPr>
              <w:tab/>
            </w:r>
            <w:r w:rsidR="004C0429">
              <w:rPr>
                <w:noProof/>
                <w:webHidden/>
              </w:rPr>
              <w:fldChar w:fldCharType="begin"/>
            </w:r>
            <w:r w:rsidR="004C0429">
              <w:rPr>
                <w:noProof/>
                <w:webHidden/>
              </w:rPr>
              <w:instrText xml:space="preserve"> PAGEREF _Toc11179125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6298874" w14:textId="12160D6C" w:rsidR="004C0429" w:rsidRDefault="00F21984">
          <w:pPr>
            <w:pStyle w:val="TDC2"/>
            <w:tabs>
              <w:tab w:val="right" w:leader="dot" w:pos="8493"/>
            </w:tabs>
            <w:rPr>
              <w:rFonts w:eastAsiaTheme="minorEastAsia" w:cstheme="minorBidi"/>
              <w:noProof/>
              <w:lang w:val="en-US"/>
            </w:rPr>
          </w:pPr>
          <w:hyperlink w:anchor="_Toc11179126" w:history="1">
            <w:r w:rsidR="004C0429" w:rsidRPr="00304B12">
              <w:rPr>
                <w:rStyle w:val="Hipervnculo"/>
                <w:noProof/>
              </w:rPr>
              <w:t>Anexo 1: Definición y cálculo de medida de espaciamiento espacial</w:t>
            </w:r>
            <w:r w:rsidR="004C0429">
              <w:rPr>
                <w:noProof/>
                <w:webHidden/>
              </w:rPr>
              <w:tab/>
            </w:r>
            <w:r w:rsidR="004C0429">
              <w:rPr>
                <w:noProof/>
                <w:webHidden/>
              </w:rPr>
              <w:fldChar w:fldCharType="begin"/>
            </w:r>
            <w:r w:rsidR="004C0429">
              <w:rPr>
                <w:noProof/>
                <w:webHidden/>
              </w:rPr>
              <w:instrText xml:space="preserve"> PAGEREF _Toc11179126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264803E" w14:textId="43CCA089" w:rsidR="004C0429" w:rsidRDefault="00F21984">
          <w:pPr>
            <w:pStyle w:val="TDC2"/>
            <w:tabs>
              <w:tab w:val="right" w:leader="dot" w:pos="8493"/>
            </w:tabs>
            <w:rPr>
              <w:rFonts w:eastAsiaTheme="minorEastAsia" w:cstheme="minorBidi"/>
              <w:noProof/>
              <w:lang w:val="en-US"/>
            </w:rPr>
          </w:pPr>
          <w:hyperlink w:anchor="_Toc11179127" w:history="1">
            <w:r w:rsidR="004C0429" w:rsidRPr="00304B12">
              <w:rPr>
                <w:rStyle w:val="Hipervnculo"/>
                <w:noProof/>
              </w:rPr>
              <w:t>Anexo 2: Descripción de variables</w:t>
            </w:r>
            <w:r w:rsidR="004C0429">
              <w:rPr>
                <w:noProof/>
                <w:webHidden/>
              </w:rPr>
              <w:tab/>
            </w:r>
            <w:r w:rsidR="004C0429">
              <w:rPr>
                <w:noProof/>
                <w:webHidden/>
              </w:rPr>
              <w:fldChar w:fldCharType="begin"/>
            </w:r>
            <w:r w:rsidR="004C0429">
              <w:rPr>
                <w:noProof/>
                <w:webHidden/>
              </w:rPr>
              <w:instrText xml:space="preserve"> PAGEREF _Toc11179127 \h </w:instrText>
            </w:r>
            <w:r w:rsidR="004C0429">
              <w:rPr>
                <w:noProof/>
                <w:webHidden/>
              </w:rPr>
            </w:r>
            <w:r w:rsidR="004C0429">
              <w:rPr>
                <w:noProof/>
                <w:webHidden/>
              </w:rPr>
              <w:fldChar w:fldCharType="separate"/>
            </w:r>
            <w:r w:rsidR="004C0429">
              <w:rPr>
                <w:noProof/>
                <w:webHidden/>
              </w:rPr>
              <w:t>38</w:t>
            </w:r>
            <w:r w:rsidR="004C0429">
              <w:rPr>
                <w:noProof/>
                <w:webHidden/>
              </w:rPr>
              <w:fldChar w:fldCharType="end"/>
            </w:r>
          </w:hyperlink>
        </w:p>
        <w:p w14:paraId="6498838B" w14:textId="2A4E209F" w:rsidR="004C0429" w:rsidRDefault="00F21984">
          <w:pPr>
            <w:pStyle w:val="TDC2"/>
            <w:tabs>
              <w:tab w:val="right" w:leader="dot" w:pos="8493"/>
            </w:tabs>
            <w:rPr>
              <w:rFonts w:eastAsiaTheme="minorEastAsia" w:cstheme="minorBidi"/>
              <w:noProof/>
              <w:lang w:val="en-US"/>
            </w:rPr>
          </w:pPr>
          <w:hyperlink w:anchor="_Toc11179128" w:history="1">
            <w:r w:rsidR="004C0429" w:rsidRPr="00304B12">
              <w:rPr>
                <w:rStyle w:val="Hipervnculo"/>
                <w:noProof/>
              </w:rPr>
              <w:t>Anexo 3: Correlación entre características observables de las estaciones y precios en corte transversal</w:t>
            </w:r>
            <w:r w:rsidR="004C0429">
              <w:rPr>
                <w:noProof/>
                <w:webHidden/>
              </w:rPr>
              <w:tab/>
            </w:r>
            <w:r w:rsidR="004C0429">
              <w:rPr>
                <w:noProof/>
                <w:webHidden/>
              </w:rPr>
              <w:fldChar w:fldCharType="begin"/>
            </w:r>
            <w:r w:rsidR="004C0429">
              <w:rPr>
                <w:noProof/>
                <w:webHidden/>
              </w:rPr>
              <w:instrText xml:space="preserve"> PAGEREF _Toc11179128 \h </w:instrText>
            </w:r>
            <w:r w:rsidR="004C0429">
              <w:rPr>
                <w:noProof/>
                <w:webHidden/>
              </w:rPr>
            </w:r>
            <w:r w:rsidR="004C0429">
              <w:rPr>
                <w:noProof/>
                <w:webHidden/>
              </w:rPr>
              <w:fldChar w:fldCharType="separate"/>
            </w:r>
            <w:r w:rsidR="004C0429">
              <w:rPr>
                <w:noProof/>
                <w:webHidden/>
              </w:rPr>
              <w:t>39</w:t>
            </w:r>
            <w:r w:rsidR="004C0429">
              <w:rPr>
                <w:noProof/>
                <w:webHidden/>
              </w:rPr>
              <w:fldChar w:fldCharType="end"/>
            </w:r>
          </w:hyperlink>
        </w:p>
        <w:p w14:paraId="49FB4E1B" w14:textId="46D1D803" w:rsidR="004C0429" w:rsidRDefault="00F21984">
          <w:pPr>
            <w:pStyle w:val="TDC1"/>
            <w:tabs>
              <w:tab w:val="right" w:leader="dot" w:pos="8493"/>
            </w:tabs>
            <w:rPr>
              <w:rFonts w:eastAsiaTheme="minorEastAsia" w:cstheme="minorBidi"/>
              <w:noProof/>
              <w:lang w:val="en-US"/>
            </w:rPr>
          </w:pPr>
          <w:hyperlink w:anchor="_Toc11179129" w:history="1">
            <w:r w:rsidR="004C0429" w:rsidRPr="00304B12">
              <w:rPr>
                <w:rStyle w:val="Hipervnculo"/>
                <w:noProof/>
                <w:lang w:val="en-US"/>
              </w:rPr>
              <w:t>Bibliografía</w:t>
            </w:r>
            <w:r w:rsidR="004C0429">
              <w:rPr>
                <w:noProof/>
                <w:webHidden/>
              </w:rPr>
              <w:tab/>
            </w:r>
            <w:r w:rsidR="004C0429">
              <w:rPr>
                <w:noProof/>
                <w:webHidden/>
              </w:rPr>
              <w:fldChar w:fldCharType="begin"/>
            </w:r>
            <w:r w:rsidR="004C0429">
              <w:rPr>
                <w:noProof/>
                <w:webHidden/>
              </w:rPr>
              <w:instrText xml:space="preserve"> PAGEREF _Toc11179129 \h </w:instrText>
            </w:r>
            <w:r w:rsidR="004C0429">
              <w:rPr>
                <w:noProof/>
                <w:webHidden/>
              </w:rPr>
            </w:r>
            <w:r w:rsidR="004C0429">
              <w:rPr>
                <w:noProof/>
                <w:webHidden/>
              </w:rPr>
              <w:fldChar w:fldCharType="separate"/>
            </w:r>
            <w:r w:rsidR="004C0429">
              <w:rPr>
                <w:noProof/>
                <w:webHidden/>
              </w:rPr>
              <w:t>45</w:t>
            </w:r>
            <w:r w:rsidR="004C0429">
              <w:rPr>
                <w:noProof/>
                <w:webHidden/>
              </w:rPr>
              <w:fldChar w:fldCharType="end"/>
            </w:r>
          </w:hyperlink>
        </w:p>
        <w:p w14:paraId="3200BED5" w14:textId="0B16D29F" w:rsidR="00DA18E1" w:rsidRPr="00074369" w:rsidRDefault="00DA18E1" w:rsidP="00DA18E1">
          <w:pPr>
            <w:spacing w:after="0"/>
          </w:pPr>
          <w:r w:rsidRPr="00074369">
            <w:rPr>
              <w:b/>
              <w:bCs/>
            </w:rPr>
            <w:fldChar w:fldCharType="end"/>
          </w:r>
        </w:p>
      </w:sdtContent>
    </w:sdt>
    <w:p w14:paraId="2599185F" w14:textId="77777777" w:rsidR="00CD64C6" w:rsidRPr="00074369" w:rsidRDefault="00CD64C6">
      <w:pPr>
        <w:spacing w:after="200" w:line="276" w:lineRule="auto"/>
        <w:jc w:val="left"/>
      </w:pPr>
      <w:r w:rsidRPr="00074369">
        <w:br w:type="page"/>
      </w:r>
    </w:p>
    <w:p w14:paraId="6A0A5870" w14:textId="2402A3B5" w:rsidR="00CD64C6" w:rsidRPr="00074369" w:rsidRDefault="003C6F49" w:rsidP="005B24F0">
      <w:pPr>
        <w:pStyle w:val="Ttulo1"/>
        <w:numPr>
          <w:ilvl w:val="0"/>
          <w:numId w:val="0"/>
        </w:numPr>
        <w:rPr>
          <w:caps/>
        </w:rPr>
      </w:pPr>
      <w:bookmarkStart w:id="0" w:name="_Toc11178394"/>
      <w:r w:rsidRPr="00074369">
        <w:rPr>
          <w:caps/>
        </w:rPr>
        <w:lastRenderedPageBreak/>
        <w:t>Índice de tablas</w:t>
      </w:r>
      <w:bookmarkEnd w:id="0"/>
    </w:p>
    <w:p w14:paraId="4A7FADC9" w14:textId="715918F3" w:rsidR="00B14F8E" w:rsidRDefault="00DA18E1">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"Tabla" </w:instrText>
      </w:r>
      <w:r w:rsidRPr="00074369">
        <w:fldChar w:fldCharType="separate"/>
      </w:r>
      <w:hyperlink w:anchor="_Toc9171792" w:history="1">
        <w:r w:rsidR="00B14F8E" w:rsidRPr="0067368B">
          <w:rPr>
            <w:rStyle w:val="Hipervnculo"/>
            <w:rFonts w:eastAsia="Calibri"/>
            <w:noProof/>
          </w:rPr>
          <w:t>Tabla 1: Número de estaciones por razón social para Perú y Lima</w:t>
        </w:r>
        <w:r w:rsidR="00B14F8E">
          <w:rPr>
            <w:noProof/>
            <w:webHidden/>
          </w:rPr>
          <w:tab/>
        </w:r>
        <w:r w:rsidR="00B14F8E">
          <w:rPr>
            <w:noProof/>
            <w:webHidden/>
          </w:rPr>
          <w:fldChar w:fldCharType="begin"/>
        </w:r>
        <w:r w:rsidR="00B14F8E">
          <w:rPr>
            <w:noProof/>
            <w:webHidden/>
          </w:rPr>
          <w:instrText xml:space="preserve"> PAGEREF _Toc9171792 \h </w:instrText>
        </w:r>
        <w:r w:rsidR="00B14F8E">
          <w:rPr>
            <w:noProof/>
            <w:webHidden/>
          </w:rPr>
        </w:r>
        <w:r w:rsidR="00B14F8E">
          <w:rPr>
            <w:noProof/>
            <w:webHidden/>
          </w:rPr>
          <w:fldChar w:fldCharType="separate"/>
        </w:r>
        <w:r w:rsidR="004C0429">
          <w:rPr>
            <w:noProof/>
            <w:webHidden/>
          </w:rPr>
          <w:t>16</w:t>
        </w:r>
        <w:r w:rsidR="00B14F8E">
          <w:rPr>
            <w:noProof/>
            <w:webHidden/>
          </w:rPr>
          <w:fldChar w:fldCharType="end"/>
        </w:r>
      </w:hyperlink>
    </w:p>
    <w:p w14:paraId="1F3AC68D" w14:textId="1D834E53" w:rsidR="00B14F8E" w:rsidRDefault="00F21984">
      <w:pPr>
        <w:pStyle w:val="Tabladeilustraciones"/>
        <w:tabs>
          <w:tab w:val="right" w:leader="dot" w:pos="8493"/>
        </w:tabs>
        <w:rPr>
          <w:rFonts w:eastAsiaTheme="minorEastAsia" w:cstheme="minorBidi"/>
          <w:noProof/>
          <w:lang w:val="en-US"/>
        </w:rPr>
      </w:pPr>
      <w:hyperlink w:anchor="_Toc9171793" w:history="1">
        <w:r w:rsidR="00B14F8E" w:rsidRPr="0067368B">
          <w:rPr>
            <w:rStyle w:val="Hipervnculo"/>
            <w:rFonts w:eastAsia="Calibri"/>
            <w:noProof/>
          </w:rPr>
          <w:t>Tabla 2: Número de estaciones propias, abanderadas e independientes por marca visible para una muestra de distritos de Lima Metropolitana</w:t>
        </w:r>
        <w:r w:rsidR="00B14F8E">
          <w:rPr>
            <w:noProof/>
            <w:webHidden/>
          </w:rPr>
          <w:tab/>
        </w:r>
        <w:r w:rsidR="00B14F8E">
          <w:rPr>
            <w:noProof/>
            <w:webHidden/>
          </w:rPr>
          <w:fldChar w:fldCharType="begin"/>
        </w:r>
        <w:r w:rsidR="00B14F8E">
          <w:rPr>
            <w:noProof/>
            <w:webHidden/>
          </w:rPr>
          <w:instrText xml:space="preserve"> PAGEREF _Toc9171793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2CDFC120" w14:textId="0F737293" w:rsidR="00B14F8E" w:rsidRDefault="00F21984">
      <w:pPr>
        <w:pStyle w:val="Tabladeilustraciones"/>
        <w:tabs>
          <w:tab w:val="right" w:leader="dot" w:pos="8493"/>
        </w:tabs>
        <w:rPr>
          <w:rFonts w:eastAsiaTheme="minorEastAsia" w:cstheme="minorBidi"/>
          <w:noProof/>
          <w:lang w:val="en-US"/>
        </w:rPr>
      </w:pPr>
      <w:hyperlink w:anchor="_Toc9171794" w:history="1">
        <w:r w:rsidR="00B14F8E" w:rsidRPr="0067368B">
          <w:rPr>
            <w:rStyle w:val="Hipervnculo"/>
            <w:rFonts w:eastAsia="Calibri"/>
            <w:noProof/>
          </w:rPr>
          <w:t>Tabla 4: Estimación por efectos fijos a nivel de estación y de tiempo</w:t>
        </w:r>
        <w:r w:rsidR="00B14F8E">
          <w:rPr>
            <w:noProof/>
            <w:webHidden/>
          </w:rPr>
          <w:tab/>
        </w:r>
        <w:r w:rsidR="00B14F8E">
          <w:rPr>
            <w:noProof/>
            <w:webHidden/>
          </w:rPr>
          <w:fldChar w:fldCharType="begin"/>
        </w:r>
        <w:r w:rsidR="00B14F8E">
          <w:rPr>
            <w:noProof/>
            <w:webHidden/>
          </w:rPr>
          <w:instrText xml:space="preserve"> PAGEREF _Toc9171794 \h </w:instrText>
        </w:r>
        <w:r w:rsidR="00B14F8E">
          <w:rPr>
            <w:noProof/>
            <w:webHidden/>
          </w:rPr>
        </w:r>
        <w:r w:rsidR="00B14F8E">
          <w:rPr>
            <w:noProof/>
            <w:webHidden/>
          </w:rPr>
          <w:fldChar w:fldCharType="separate"/>
        </w:r>
        <w:r w:rsidR="004C0429">
          <w:rPr>
            <w:noProof/>
            <w:webHidden/>
          </w:rPr>
          <w:t>26</w:t>
        </w:r>
        <w:r w:rsidR="00B14F8E">
          <w:rPr>
            <w:noProof/>
            <w:webHidden/>
          </w:rPr>
          <w:fldChar w:fldCharType="end"/>
        </w:r>
      </w:hyperlink>
    </w:p>
    <w:p w14:paraId="1F00C16B" w14:textId="3ED8D1C7" w:rsidR="00B14F8E" w:rsidRDefault="00F21984">
      <w:pPr>
        <w:pStyle w:val="Tabladeilustraciones"/>
        <w:tabs>
          <w:tab w:val="right" w:leader="dot" w:pos="8493"/>
        </w:tabs>
        <w:rPr>
          <w:rFonts w:eastAsiaTheme="minorEastAsia" w:cstheme="minorBidi"/>
          <w:noProof/>
          <w:lang w:val="en-US"/>
        </w:rPr>
      </w:pPr>
      <w:hyperlink w:anchor="_Toc9171795" w:history="1">
        <w:r w:rsidR="00B14F8E" w:rsidRPr="0067368B">
          <w:rPr>
            <w:rStyle w:val="Hipervnculo"/>
            <w:rFonts w:eastAsia="Calibri"/>
            <w:noProof/>
          </w:rPr>
          <w:t>Tabla 5: Cambio en precio de diésel para estaciones adquiridas</w:t>
        </w:r>
        <w:r w:rsidR="00B14F8E">
          <w:rPr>
            <w:noProof/>
            <w:webHidden/>
          </w:rPr>
          <w:tab/>
        </w:r>
        <w:r w:rsidR="00B14F8E">
          <w:rPr>
            <w:noProof/>
            <w:webHidden/>
          </w:rPr>
          <w:fldChar w:fldCharType="begin"/>
        </w:r>
        <w:r w:rsidR="00B14F8E">
          <w:rPr>
            <w:noProof/>
            <w:webHidden/>
          </w:rPr>
          <w:instrText xml:space="preserve"> PAGEREF _Toc9171795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7B08E2B6" w14:textId="664655C5" w:rsidR="00B14F8E" w:rsidRDefault="00F21984">
      <w:pPr>
        <w:pStyle w:val="Tabladeilustraciones"/>
        <w:tabs>
          <w:tab w:val="right" w:leader="dot" w:pos="8493"/>
        </w:tabs>
        <w:rPr>
          <w:rFonts w:eastAsiaTheme="minorEastAsia" w:cstheme="minorBidi"/>
          <w:noProof/>
          <w:lang w:val="en-US"/>
        </w:rPr>
      </w:pPr>
      <w:hyperlink w:anchor="_Toc9171796" w:history="1">
        <w:r w:rsidR="00B14F8E" w:rsidRPr="0067368B">
          <w:rPr>
            <w:rStyle w:val="Hipervnculo"/>
            <w:rFonts w:eastAsia="Calibri"/>
            <w:noProof/>
          </w:rPr>
          <w:t>Tabla 6: Cambio en precio de gasohol  90 para estaciones adquiridas</w:t>
        </w:r>
        <w:r w:rsidR="00B14F8E">
          <w:rPr>
            <w:noProof/>
            <w:webHidden/>
          </w:rPr>
          <w:tab/>
        </w:r>
        <w:r w:rsidR="00B14F8E">
          <w:rPr>
            <w:noProof/>
            <w:webHidden/>
          </w:rPr>
          <w:fldChar w:fldCharType="begin"/>
        </w:r>
        <w:r w:rsidR="00B14F8E">
          <w:rPr>
            <w:noProof/>
            <w:webHidden/>
          </w:rPr>
          <w:instrText xml:space="preserve"> PAGEREF _Toc9171796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1EEE4CD7" w14:textId="40F9D183" w:rsidR="00B14F8E" w:rsidRDefault="00F21984">
      <w:pPr>
        <w:pStyle w:val="Tabladeilustraciones"/>
        <w:tabs>
          <w:tab w:val="right" w:leader="dot" w:pos="8493"/>
        </w:tabs>
        <w:rPr>
          <w:rFonts w:eastAsiaTheme="minorEastAsia" w:cstheme="minorBidi"/>
          <w:noProof/>
          <w:lang w:val="en-US"/>
        </w:rPr>
      </w:pPr>
      <w:hyperlink w:anchor="_Toc9171797" w:history="1">
        <w:r w:rsidR="00B14F8E" w:rsidRPr="0067368B">
          <w:rPr>
            <w:rStyle w:val="Hipervnculo"/>
            <w:rFonts w:eastAsia="Calibri"/>
            <w:noProof/>
          </w:rPr>
          <w:t>Tabla 7: Cambio en precio de diésel para estaciones vecinas a estaciones adquiridas</w:t>
        </w:r>
        <w:r w:rsidR="00B14F8E">
          <w:rPr>
            <w:noProof/>
            <w:webHidden/>
          </w:rPr>
          <w:tab/>
        </w:r>
        <w:r w:rsidR="00B14F8E">
          <w:rPr>
            <w:noProof/>
            <w:webHidden/>
          </w:rPr>
          <w:fldChar w:fldCharType="begin"/>
        </w:r>
        <w:r w:rsidR="00B14F8E">
          <w:rPr>
            <w:noProof/>
            <w:webHidden/>
          </w:rPr>
          <w:instrText xml:space="preserve"> PAGEREF _Toc9171797 \h </w:instrText>
        </w:r>
        <w:r w:rsidR="00B14F8E">
          <w:rPr>
            <w:noProof/>
            <w:webHidden/>
          </w:rPr>
        </w:r>
        <w:r w:rsidR="00B14F8E">
          <w:rPr>
            <w:noProof/>
            <w:webHidden/>
          </w:rPr>
          <w:fldChar w:fldCharType="separate"/>
        </w:r>
        <w:r w:rsidR="004C0429">
          <w:rPr>
            <w:noProof/>
            <w:webHidden/>
          </w:rPr>
          <w:t>32</w:t>
        </w:r>
        <w:r w:rsidR="00B14F8E">
          <w:rPr>
            <w:noProof/>
            <w:webHidden/>
          </w:rPr>
          <w:fldChar w:fldCharType="end"/>
        </w:r>
      </w:hyperlink>
    </w:p>
    <w:p w14:paraId="37069D29" w14:textId="042E4CED" w:rsidR="00B14F8E" w:rsidRDefault="00F21984">
      <w:pPr>
        <w:pStyle w:val="Tabladeilustraciones"/>
        <w:tabs>
          <w:tab w:val="right" w:leader="dot" w:pos="8493"/>
        </w:tabs>
        <w:rPr>
          <w:rFonts w:eastAsiaTheme="minorEastAsia" w:cstheme="minorBidi"/>
          <w:noProof/>
          <w:lang w:val="en-US"/>
        </w:rPr>
      </w:pPr>
      <w:hyperlink w:anchor="_Toc9171798" w:history="1">
        <w:r w:rsidR="00B14F8E" w:rsidRPr="0067368B">
          <w:rPr>
            <w:rStyle w:val="Hipervnculo"/>
            <w:rFonts w:eastAsia="Calibri"/>
            <w:noProof/>
          </w:rPr>
          <w:t>Tabla 8: Cambio en precio de Gasohol 90 para estaciones vecinas a las adquiridas</w:t>
        </w:r>
        <w:r w:rsidR="00B14F8E">
          <w:rPr>
            <w:noProof/>
            <w:webHidden/>
          </w:rPr>
          <w:tab/>
        </w:r>
        <w:r w:rsidR="00B14F8E">
          <w:rPr>
            <w:noProof/>
            <w:webHidden/>
          </w:rPr>
          <w:fldChar w:fldCharType="begin"/>
        </w:r>
        <w:r w:rsidR="00B14F8E">
          <w:rPr>
            <w:noProof/>
            <w:webHidden/>
          </w:rPr>
          <w:instrText xml:space="preserve"> PAGEREF _Toc9171798 \h </w:instrText>
        </w:r>
        <w:r w:rsidR="00B14F8E">
          <w:rPr>
            <w:noProof/>
            <w:webHidden/>
          </w:rPr>
        </w:r>
        <w:r w:rsidR="00B14F8E">
          <w:rPr>
            <w:noProof/>
            <w:webHidden/>
          </w:rPr>
          <w:fldChar w:fldCharType="separate"/>
        </w:r>
        <w:r w:rsidR="004C0429">
          <w:rPr>
            <w:noProof/>
            <w:webHidden/>
          </w:rPr>
          <w:t>33</w:t>
        </w:r>
        <w:r w:rsidR="00B14F8E">
          <w:rPr>
            <w:noProof/>
            <w:webHidden/>
          </w:rPr>
          <w:fldChar w:fldCharType="end"/>
        </w:r>
      </w:hyperlink>
    </w:p>
    <w:p w14:paraId="13C80B8F" w14:textId="27255FC2" w:rsidR="00B14F8E" w:rsidRDefault="00F21984">
      <w:pPr>
        <w:pStyle w:val="Tabladeilustraciones"/>
        <w:tabs>
          <w:tab w:val="right" w:leader="dot" w:pos="8493"/>
        </w:tabs>
        <w:rPr>
          <w:rFonts w:eastAsiaTheme="minorEastAsia" w:cstheme="minorBidi"/>
          <w:noProof/>
          <w:lang w:val="en-US"/>
        </w:rPr>
      </w:pPr>
      <w:hyperlink w:anchor="_Toc9171799" w:history="1">
        <w:r w:rsidR="00B14F8E" w:rsidRPr="0067368B">
          <w:rPr>
            <w:rStyle w:val="Hipervnculo"/>
            <w:rFonts w:eastAsia="Calibri"/>
            <w:noProof/>
          </w:rPr>
          <w:t>Tabla 3: Estadística descriptiva</w:t>
        </w:r>
        <w:r w:rsidR="00B14F8E">
          <w:rPr>
            <w:noProof/>
            <w:webHidden/>
          </w:rPr>
          <w:tab/>
        </w:r>
        <w:r w:rsidR="00B14F8E">
          <w:rPr>
            <w:noProof/>
            <w:webHidden/>
          </w:rPr>
          <w:fldChar w:fldCharType="begin"/>
        </w:r>
        <w:r w:rsidR="00B14F8E">
          <w:rPr>
            <w:noProof/>
            <w:webHidden/>
          </w:rPr>
          <w:instrText xml:space="preserve"> PAGEREF _Toc9171799 \h </w:instrText>
        </w:r>
        <w:r w:rsidR="00B14F8E">
          <w:rPr>
            <w:noProof/>
            <w:webHidden/>
          </w:rPr>
        </w:r>
        <w:r w:rsidR="00B14F8E">
          <w:rPr>
            <w:noProof/>
            <w:webHidden/>
          </w:rPr>
          <w:fldChar w:fldCharType="separate"/>
        </w:r>
        <w:r w:rsidR="004C0429">
          <w:rPr>
            <w:noProof/>
            <w:webHidden/>
          </w:rPr>
          <w:t>38</w:t>
        </w:r>
        <w:r w:rsidR="00B14F8E">
          <w:rPr>
            <w:noProof/>
            <w:webHidden/>
          </w:rPr>
          <w:fldChar w:fldCharType="end"/>
        </w:r>
      </w:hyperlink>
    </w:p>
    <w:p w14:paraId="7C70225F" w14:textId="4BE8FE32" w:rsidR="00B14F8E" w:rsidRDefault="00F21984">
      <w:pPr>
        <w:pStyle w:val="Tabladeilustraciones"/>
        <w:tabs>
          <w:tab w:val="right" w:leader="dot" w:pos="8493"/>
        </w:tabs>
        <w:rPr>
          <w:rFonts w:eastAsiaTheme="minorEastAsia" w:cstheme="minorBidi"/>
          <w:noProof/>
          <w:lang w:val="en-US"/>
        </w:rPr>
      </w:pPr>
      <w:hyperlink w:anchor="_Toc9171800" w:history="1">
        <w:r w:rsidR="00B14F8E" w:rsidRPr="0067368B">
          <w:rPr>
            <w:rStyle w:val="Hipervnculo"/>
            <w:rFonts w:eastAsia="Calibri"/>
            <w:noProof/>
          </w:rPr>
          <w:t>Tabla 9: Resultados de regresión lineal por MCO - Combustible Diésel DB5-S50</w:t>
        </w:r>
        <w:r w:rsidR="00B14F8E">
          <w:rPr>
            <w:noProof/>
            <w:webHidden/>
          </w:rPr>
          <w:tab/>
        </w:r>
        <w:r w:rsidR="00B14F8E">
          <w:rPr>
            <w:noProof/>
            <w:webHidden/>
          </w:rPr>
          <w:fldChar w:fldCharType="begin"/>
        </w:r>
        <w:r w:rsidR="00B14F8E">
          <w:rPr>
            <w:noProof/>
            <w:webHidden/>
          </w:rPr>
          <w:instrText xml:space="preserve"> PAGEREF _Toc9171800 \h </w:instrText>
        </w:r>
        <w:r w:rsidR="00B14F8E">
          <w:rPr>
            <w:noProof/>
            <w:webHidden/>
          </w:rPr>
        </w:r>
        <w:r w:rsidR="00B14F8E">
          <w:rPr>
            <w:noProof/>
            <w:webHidden/>
          </w:rPr>
          <w:fldChar w:fldCharType="separate"/>
        </w:r>
        <w:r w:rsidR="004C0429">
          <w:rPr>
            <w:noProof/>
            <w:webHidden/>
          </w:rPr>
          <w:t>40</w:t>
        </w:r>
        <w:r w:rsidR="00B14F8E">
          <w:rPr>
            <w:noProof/>
            <w:webHidden/>
          </w:rPr>
          <w:fldChar w:fldCharType="end"/>
        </w:r>
      </w:hyperlink>
    </w:p>
    <w:p w14:paraId="74E383E7" w14:textId="28ECC84C" w:rsidR="00B14F8E" w:rsidRDefault="00F21984">
      <w:pPr>
        <w:pStyle w:val="Tabladeilustraciones"/>
        <w:tabs>
          <w:tab w:val="right" w:leader="dot" w:pos="8493"/>
        </w:tabs>
        <w:rPr>
          <w:rFonts w:eastAsiaTheme="minorEastAsia" w:cstheme="minorBidi"/>
          <w:noProof/>
          <w:lang w:val="en-US"/>
        </w:rPr>
      </w:pPr>
      <w:hyperlink w:anchor="_Toc9171801" w:history="1">
        <w:r w:rsidR="00B14F8E" w:rsidRPr="0067368B">
          <w:rPr>
            <w:rStyle w:val="Hipervnculo"/>
            <w:rFonts w:eastAsia="Calibri"/>
            <w:noProof/>
          </w:rPr>
          <w:t>Tabla 10: Resultados de regresión lineal por MCO - Combustible Gasohol 90 octanos</w:t>
        </w:r>
        <w:r w:rsidR="00B14F8E">
          <w:rPr>
            <w:noProof/>
            <w:webHidden/>
          </w:rPr>
          <w:tab/>
        </w:r>
        <w:r w:rsidR="00B14F8E">
          <w:rPr>
            <w:noProof/>
            <w:webHidden/>
          </w:rPr>
          <w:fldChar w:fldCharType="begin"/>
        </w:r>
        <w:r w:rsidR="00B14F8E">
          <w:rPr>
            <w:noProof/>
            <w:webHidden/>
          </w:rPr>
          <w:instrText xml:space="preserve"> PAGEREF _Toc9171801 \h </w:instrText>
        </w:r>
        <w:r w:rsidR="00B14F8E">
          <w:rPr>
            <w:noProof/>
            <w:webHidden/>
          </w:rPr>
        </w:r>
        <w:r w:rsidR="00B14F8E">
          <w:rPr>
            <w:noProof/>
            <w:webHidden/>
          </w:rPr>
          <w:fldChar w:fldCharType="separate"/>
        </w:r>
        <w:r w:rsidR="004C0429">
          <w:rPr>
            <w:noProof/>
            <w:webHidden/>
          </w:rPr>
          <w:t>41</w:t>
        </w:r>
        <w:r w:rsidR="00B14F8E">
          <w:rPr>
            <w:noProof/>
            <w:webHidden/>
          </w:rPr>
          <w:fldChar w:fldCharType="end"/>
        </w:r>
      </w:hyperlink>
    </w:p>
    <w:p w14:paraId="57483C9D" w14:textId="55DE543C" w:rsidR="00B14F8E" w:rsidRDefault="00F21984">
      <w:pPr>
        <w:pStyle w:val="Tabladeilustraciones"/>
        <w:tabs>
          <w:tab w:val="right" w:leader="dot" w:pos="8493"/>
        </w:tabs>
        <w:rPr>
          <w:rFonts w:eastAsiaTheme="minorEastAsia" w:cstheme="minorBidi"/>
          <w:noProof/>
          <w:lang w:val="en-US"/>
        </w:rPr>
      </w:pPr>
      <w:hyperlink w:anchor="_Toc9171802" w:history="1">
        <w:r w:rsidR="00B14F8E" w:rsidRPr="0067368B">
          <w:rPr>
            <w:rStyle w:val="Hipervnculo"/>
            <w:rFonts w:eastAsia="Calibri"/>
            <w:noProof/>
          </w:rPr>
          <w:t>Tabla 11: Pruebas de LR para simplificar el modelo espacial de Durbin</w:t>
        </w:r>
        <w:r w:rsidR="00B14F8E">
          <w:rPr>
            <w:noProof/>
            <w:webHidden/>
          </w:rPr>
          <w:tab/>
        </w:r>
        <w:r w:rsidR="00B14F8E">
          <w:rPr>
            <w:noProof/>
            <w:webHidden/>
          </w:rPr>
          <w:fldChar w:fldCharType="begin"/>
        </w:r>
        <w:r w:rsidR="00B14F8E">
          <w:rPr>
            <w:noProof/>
            <w:webHidden/>
          </w:rPr>
          <w:instrText xml:space="preserve"> PAGEREF _Toc9171802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094A2B14" w14:textId="546DAF36" w:rsidR="00B14F8E" w:rsidRDefault="00F21984">
      <w:pPr>
        <w:pStyle w:val="Tabladeilustraciones"/>
        <w:tabs>
          <w:tab w:val="right" w:leader="dot" w:pos="8493"/>
        </w:tabs>
        <w:rPr>
          <w:rFonts w:eastAsiaTheme="minorEastAsia" w:cstheme="minorBidi"/>
          <w:noProof/>
          <w:lang w:val="en-US"/>
        </w:rPr>
      </w:pPr>
      <w:hyperlink w:anchor="_Toc9171803" w:history="1">
        <w:r w:rsidR="00B14F8E" w:rsidRPr="0067368B">
          <w:rPr>
            <w:rStyle w:val="Hipervnculo"/>
            <w:rFonts w:eastAsia="Calibri"/>
            <w:noProof/>
          </w:rPr>
          <w:t>Tabla 12: Resultados del modelo autoregresivo espacial y sus impactos para combustible diésel en Marzo – 2018.</w:t>
        </w:r>
        <w:r w:rsidR="00B14F8E">
          <w:rPr>
            <w:noProof/>
            <w:webHidden/>
          </w:rPr>
          <w:tab/>
        </w:r>
        <w:r w:rsidR="00B14F8E">
          <w:rPr>
            <w:noProof/>
            <w:webHidden/>
          </w:rPr>
          <w:fldChar w:fldCharType="begin"/>
        </w:r>
        <w:r w:rsidR="00B14F8E">
          <w:rPr>
            <w:noProof/>
            <w:webHidden/>
          </w:rPr>
          <w:instrText xml:space="preserve"> PAGEREF _Toc9171803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7D636226" w14:textId="3A301C4C" w:rsidR="00B14F8E" w:rsidRDefault="00F21984">
      <w:pPr>
        <w:pStyle w:val="Tabladeilustraciones"/>
        <w:tabs>
          <w:tab w:val="right" w:leader="dot" w:pos="8493"/>
        </w:tabs>
        <w:rPr>
          <w:rFonts w:eastAsiaTheme="minorEastAsia" w:cstheme="minorBidi"/>
          <w:noProof/>
          <w:lang w:val="en-US"/>
        </w:rPr>
      </w:pPr>
      <w:hyperlink w:anchor="_Toc9171804" w:history="1">
        <w:r w:rsidR="00B14F8E" w:rsidRPr="0067368B">
          <w:rPr>
            <w:rStyle w:val="Hipervnculo"/>
            <w:rFonts w:eastAsia="Calibri"/>
            <w:noProof/>
          </w:rPr>
          <w:t>Tabla 13: Resultados del modelo autoregresivo espacial y sus impactos para combustible gasohol en Marzo – 2018.</w:t>
        </w:r>
        <w:r w:rsidR="00B14F8E">
          <w:rPr>
            <w:noProof/>
            <w:webHidden/>
          </w:rPr>
          <w:tab/>
        </w:r>
        <w:r w:rsidR="00B14F8E">
          <w:rPr>
            <w:noProof/>
            <w:webHidden/>
          </w:rPr>
          <w:fldChar w:fldCharType="begin"/>
        </w:r>
        <w:r w:rsidR="00B14F8E">
          <w:rPr>
            <w:noProof/>
            <w:webHidden/>
          </w:rPr>
          <w:instrText xml:space="preserve"> PAGEREF _Toc9171804 \h </w:instrText>
        </w:r>
        <w:r w:rsidR="00B14F8E">
          <w:rPr>
            <w:noProof/>
            <w:webHidden/>
          </w:rPr>
        </w:r>
        <w:r w:rsidR="00B14F8E">
          <w:rPr>
            <w:noProof/>
            <w:webHidden/>
          </w:rPr>
          <w:fldChar w:fldCharType="separate"/>
        </w:r>
        <w:r w:rsidR="004C0429">
          <w:rPr>
            <w:noProof/>
            <w:webHidden/>
          </w:rPr>
          <w:t>43</w:t>
        </w:r>
        <w:r w:rsidR="00B14F8E">
          <w:rPr>
            <w:noProof/>
            <w:webHidden/>
          </w:rPr>
          <w:fldChar w:fldCharType="end"/>
        </w:r>
      </w:hyperlink>
    </w:p>
    <w:p w14:paraId="2CCD796F" w14:textId="02AD3966" w:rsidR="00DA18E1" w:rsidRPr="00074369" w:rsidRDefault="00DA18E1">
      <w:pPr>
        <w:spacing w:after="200" w:line="276" w:lineRule="auto"/>
        <w:jc w:val="left"/>
      </w:pPr>
      <w:r w:rsidRPr="00074369">
        <w:fldChar w:fldCharType="end"/>
      </w:r>
    </w:p>
    <w:p w14:paraId="6BCDD342" w14:textId="77777777" w:rsidR="00CD64C6" w:rsidRPr="00074369" w:rsidRDefault="00CD64C6">
      <w:pPr>
        <w:spacing w:after="200" w:line="276" w:lineRule="auto"/>
        <w:jc w:val="left"/>
      </w:pPr>
      <w:r w:rsidRPr="00074369">
        <w:br w:type="page"/>
      </w:r>
    </w:p>
    <w:p w14:paraId="71F4A8E3" w14:textId="198B475E" w:rsidR="00CD64C6" w:rsidRPr="00074369" w:rsidRDefault="00A457F2" w:rsidP="00B97460">
      <w:pPr>
        <w:pStyle w:val="Ttulo1"/>
        <w:numPr>
          <w:ilvl w:val="0"/>
          <w:numId w:val="0"/>
        </w:numPr>
        <w:rPr>
          <w:b w:val="0"/>
          <w:caps/>
        </w:rPr>
      </w:pPr>
      <w:bookmarkStart w:id="1" w:name="_Toc11178395"/>
      <w:r w:rsidRPr="00074369">
        <w:rPr>
          <w:caps/>
        </w:rPr>
        <w:lastRenderedPageBreak/>
        <w:t>Índice de gráficos</w:t>
      </w:r>
      <w:bookmarkEnd w:id="1"/>
    </w:p>
    <w:p w14:paraId="66A387EC" w14:textId="085BD70C" w:rsidR="00B14F8E" w:rsidRDefault="00C26DD6">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"Gráfico" </w:instrText>
      </w:r>
      <w:r w:rsidRPr="00074369">
        <w:fldChar w:fldCharType="separate"/>
      </w:r>
      <w:hyperlink w:anchor="_Toc9171805" w:history="1">
        <w:r w:rsidR="00B14F8E" w:rsidRPr="005E30CA">
          <w:rPr>
            <w:rStyle w:val="Hipervnculo"/>
            <w:rFonts w:eastAsia="Calibri"/>
            <w:noProof/>
          </w:rPr>
          <w:t>Gráfico 1. Modelos de dependencia espacial para datos de corte transversal</w:t>
        </w:r>
        <w:r w:rsidR="00B14F8E">
          <w:rPr>
            <w:noProof/>
            <w:webHidden/>
          </w:rPr>
          <w:tab/>
        </w:r>
        <w:r w:rsidR="00B14F8E">
          <w:rPr>
            <w:noProof/>
            <w:webHidden/>
          </w:rPr>
          <w:fldChar w:fldCharType="begin"/>
        </w:r>
        <w:r w:rsidR="00B14F8E">
          <w:rPr>
            <w:noProof/>
            <w:webHidden/>
          </w:rPr>
          <w:instrText xml:space="preserve"> PAGEREF _Toc9171805 \h </w:instrText>
        </w:r>
        <w:r w:rsidR="00B14F8E">
          <w:rPr>
            <w:noProof/>
            <w:webHidden/>
          </w:rPr>
        </w:r>
        <w:r w:rsidR="00B14F8E">
          <w:rPr>
            <w:noProof/>
            <w:webHidden/>
          </w:rPr>
          <w:fldChar w:fldCharType="separate"/>
        </w:r>
        <w:r w:rsidR="004C0429">
          <w:rPr>
            <w:noProof/>
            <w:webHidden/>
          </w:rPr>
          <w:t>11</w:t>
        </w:r>
        <w:r w:rsidR="00B14F8E">
          <w:rPr>
            <w:noProof/>
            <w:webHidden/>
          </w:rPr>
          <w:fldChar w:fldCharType="end"/>
        </w:r>
      </w:hyperlink>
    </w:p>
    <w:p w14:paraId="2AA2638B" w14:textId="15E8BB34" w:rsidR="00B14F8E" w:rsidRDefault="00F21984">
      <w:pPr>
        <w:pStyle w:val="Tabladeilustraciones"/>
        <w:tabs>
          <w:tab w:val="right" w:leader="dot" w:pos="8493"/>
        </w:tabs>
        <w:rPr>
          <w:rFonts w:eastAsiaTheme="minorEastAsia" w:cstheme="minorBidi"/>
          <w:noProof/>
          <w:lang w:val="en-US"/>
        </w:rPr>
      </w:pPr>
      <w:hyperlink w:anchor="_Toc9171806" w:history="1">
        <w:r w:rsidR="00B14F8E" w:rsidRPr="005E30CA">
          <w:rPr>
            <w:rStyle w:val="Hipervnculo"/>
            <w:rFonts w:eastAsia="Calibri"/>
            <w:noProof/>
          </w:rPr>
          <w:t>Gráfico 2. Construcción de polígonos de Thiessen alrededor de 20 observaciones</w:t>
        </w:r>
        <w:r w:rsidR="00B14F8E">
          <w:rPr>
            <w:noProof/>
            <w:webHidden/>
          </w:rPr>
          <w:tab/>
        </w:r>
        <w:r w:rsidR="00B14F8E">
          <w:rPr>
            <w:noProof/>
            <w:webHidden/>
          </w:rPr>
          <w:fldChar w:fldCharType="begin"/>
        </w:r>
        <w:r w:rsidR="00B14F8E">
          <w:rPr>
            <w:noProof/>
            <w:webHidden/>
          </w:rPr>
          <w:instrText xml:space="preserve"> PAGEREF _Toc9171806 \h </w:instrText>
        </w:r>
        <w:r w:rsidR="00B14F8E">
          <w:rPr>
            <w:noProof/>
            <w:webHidden/>
          </w:rPr>
        </w:r>
        <w:r w:rsidR="00B14F8E">
          <w:rPr>
            <w:noProof/>
            <w:webHidden/>
          </w:rPr>
          <w:fldChar w:fldCharType="separate"/>
        </w:r>
        <w:r w:rsidR="004C0429">
          <w:rPr>
            <w:noProof/>
            <w:webHidden/>
          </w:rPr>
          <w:t>14</w:t>
        </w:r>
        <w:r w:rsidR="00B14F8E">
          <w:rPr>
            <w:noProof/>
            <w:webHidden/>
          </w:rPr>
          <w:fldChar w:fldCharType="end"/>
        </w:r>
      </w:hyperlink>
    </w:p>
    <w:p w14:paraId="32D19A2C" w14:textId="3A482435" w:rsidR="00B14F8E" w:rsidRDefault="00F21984">
      <w:pPr>
        <w:pStyle w:val="Tabladeilustraciones"/>
        <w:tabs>
          <w:tab w:val="right" w:leader="dot" w:pos="8493"/>
        </w:tabs>
        <w:rPr>
          <w:rFonts w:eastAsiaTheme="minorEastAsia" w:cstheme="minorBidi"/>
          <w:noProof/>
          <w:lang w:val="en-US"/>
        </w:rPr>
      </w:pPr>
      <w:hyperlink w:anchor="_Toc9171807" w:history="1">
        <w:r w:rsidR="00B14F8E" w:rsidRPr="005E30CA">
          <w:rPr>
            <w:rStyle w:val="Hipervnculo"/>
            <w:rFonts w:eastAsia="Calibri"/>
            <w:noProof/>
          </w:rPr>
          <w:t>Gráfico 3: Venta de combustibles por tipo de producto a nivel nacional (porcentajes)</w:t>
        </w:r>
        <w:r w:rsidR="00B14F8E">
          <w:rPr>
            <w:noProof/>
            <w:webHidden/>
          </w:rPr>
          <w:tab/>
        </w:r>
        <w:r w:rsidR="00B14F8E">
          <w:rPr>
            <w:noProof/>
            <w:webHidden/>
          </w:rPr>
          <w:fldChar w:fldCharType="begin"/>
        </w:r>
        <w:r w:rsidR="00B14F8E">
          <w:rPr>
            <w:noProof/>
            <w:webHidden/>
          </w:rPr>
          <w:instrText xml:space="preserve"> PAGEREF _Toc9171807 \h </w:instrText>
        </w:r>
        <w:r w:rsidR="00B14F8E">
          <w:rPr>
            <w:noProof/>
            <w:webHidden/>
          </w:rPr>
        </w:r>
        <w:r w:rsidR="00B14F8E">
          <w:rPr>
            <w:noProof/>
            <w:webHidden/>
          </w:rPr>
          <w:fldChar w:fldCharType="separate"/>
        </w:r>
        <w:r w:rsidR="004C0429">
          <w:rPr>
            <w:noProof/>
            <w:webHidden/>
          </w:rPr>
          <w:t>17</w:t>
        </w:r>
        <w:r w:rsidR="00B14F8E">
          <w:rPr>
            <w:noProof/>
            <w:webHidden/>
          </w:rPr>
          <w:fldChar w:fldCharType="end"/>
        </w:r>
      </w:hyperlink>
    </w:p>
    <w:p w14:paraId="2E14592F" w14:textId="38E49641" w:rsidR="00B14F8E" w:rsidRDefault="00F21984">
      <w:pPr>
        <w:pStyle w:val="Tabladeilustraciones"/>
        <w:tabs>
          <w:tab w:val="right" w:leader="dot" w:pos="8493"/>
        </w:tabs>
        <w:rPr>
          <w:rFonts w:eastAsiaTheme="minorEastAsia" w:cstheme="minorBidi"/>
          <w:noProof/>
          <w:lang w:val="en-US"/>
        </w:rPr>
      </w:pPr>
      <w:hyperlink w:anchor="_Toc9171808" w:history="1">
        <w:r w:rsidR="00B14F8E" w:rsidRPr="005E30CA">
          <w:rPr>
            <w:rStyle w:val="Hipervnculo"/>
            <w:rFonts w:eastAsia="Calibri"/>
            <w:noProof/>
          </w:rPr>
          <w:t>Gráfico 4: Precios promedio por tipo de estación para Diésel y Gasolina de 90 octanos</w:t>
        </w:r>
        <w:r w:rsidR="00B14F8E">
          <w:rPr>
            <w:noProof/>
            <w:webHidden/>
          </w:rPr>
          <w:tab/>
        </w:r>
        <w:r w:rsidR="00B14F8E">
          <w:rPr>
            <w:noProof/>
            <w:webHidden/>
          </w:rPr>
          <w:fldChar w:fldCharType="begin"/>
        </w:r>
        <w:r w:rsidR="00B14F8E">
          <w:rPr>
            <w:noProof/>
            <w:webHidden/>
          </w:rPr>
          <w:instrText xml:space="preserve"> PAGEREF _Toc9171808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5DAE39B0" w14:textId="16E6E98F" w:rsidR="00B14F8E" w:rsidRDefault="00F21984">
      <w:pPr>
        <w:pStyle w:val="Tabladeilustraciones"/>
        <w:tabs>
          <w:tab w:val="right" w:leader="dot" w:pos="8493"/>
        </w:tabs>
        <w:rPr>
          <w:rFonts w:eastAsiaTheme="minorEastAsia" w:cstheme="minorBidi"/>
          <w:noProof/>
          <w:lang w:val="en-US"/>
        </w:rPr>
      </w:pPr>
      <w:hyperlink w:anchor="_Toc9171809" w:history="1">
        <w:r w:rsidR="00B14F8E" w:rsidRPr="005E30CA">
          <w:rPr>
            <w:rStyle w:val="Hipervnculo"/>
            <w:rFonts w:eastAsia="Calibri"/>
            <w:noProof/>
          </w:rPr>
          <w:t>Gráfico 5: Distribución de estaciones en distritos de Lima Metropolitana</w:t>
        </w:r>
        <w:r w:rsidR="00B14F8E">
          <w:rPr>
            <w:noProof/>
            <w:webHidden/>
          </w:rPr>
          <w:tab/>
        </w:r>
        <w:r w:rsidR="00B14F8E">
          <w:rPr>
            <w:noProof/>
            <w:webHidden/>
          </w:rPr>
          <w:fldChar w:fldCharType="begin"/>
        </w:r>
        <w:r w:rsidR="00B14F8E">
          <w:rPr>
            <w:noProof/>
            <w:webHidden/>
          </w:rPr>
          <w:instrText xml:space="preserve"> PAGEREF _Toc9171809 \h </w:instrText>
        </w:r>
        <w:r w:rsidR="00B14F8E">
          <w:rPr>
            <w:noProof/>
            <w:webHidden/>
          </w:rPr>
        </w:r>
        <w:r w:rsidR="00B14F8E">
          <w:rPr>
            <w:noProof/>
            <w:webHidden/>
          </w:rPr>
          <w:fldChar w:fldCharType="separate"/>
        </w:r>
        <w:r w:rsidR="004C0429">
          <w:rPr>
            <w:noProof/>
            <w:webHidden/>
          </w:rPr>
          <w:t>20</w:t>
        </w:r>
        <w:r w:rsidR="00B14F8E">
          <w:rPr>
            <w:noProof/>
            <w:webHidden/>
          </w:rPr>
          <w:fldChar w:fldCharType="end"/>
        </w:r>
      </w:hyperlink>
    </w:p>
    <w:p w14:paraId="7FE7F810" w14:textId="34CAA779" w:rsidR="00B14F8E" w:rsidRDefault="00F21984">
      <w:pPr>
        <w:pStyle w:val="Tabladeilustraciones"/>
        <w:tabs>
          <w:tab w:val="right" w:leader="dot" w:pos="8493"/>
        </w:tabs>
        <w:rPr>
          <w:rFonts w:eastAsiaTheme="minorEastAsia" w:cstheme="minorBidi"/>
          <w:noProof/>
          <w:lang w:val="en-US"/>
        </w:rPr>
      </w:pPr>
      <w:hyperlink w:anchor="_Toc9171810" w:history="1">
        <w:r w:rsidR="00B14F8E" w:rsidRPr="005E30CA">
          <w:rPr>
            <w:rStyle w:val="Hipervnculo"/>
            <w:rFonts w:eastAsia="Calibri"/>
            <w:noProof/>
          </w:rPr>
          <w:t>Gráfico 6: Vecinos de una estación de servicios utilizando polígonos de Thiessen</w:t>
        </w:r>
        <w:r w:rsidR="00B14F8E">
          <w:rPr>
            <w:noProof/>
            <w:webHidden/>
          </w:rPr>
          <w:tab/>
        </w:r>
        <w:r w:rsidR="00B14F8E">
          <w:rPr>
            <w:noProof/>
            <w:webHidden/>
          </w:rPr>
          <w:fldChar w:fldCharType="begin"/>
        </w:r>
        <w:r w:rsidR="00B14F8E">
          <w:rPr>
            <w:noProof/>
            <w:webHidden/>
          </w:rPr>
          <w:instrText xml:space="preserve"> PAGEREF _Toc9171810 \h </w:instrText>
        </w:r>
        <w:r w:rsidR="00B14F8E">
          <w:rPr>
            <w:noProof/>
            <w:webHidden/>
          </w:rPr>
        </w:r>
        <w:r w:rsidR="00B14F8E">
          <w:rPr>
            <w:noProof/>
            <w:webHidden/>
          </w:rPr>
          <w:fldChar w:fldCharType="separate"/>
        </w:r>
        <w:r w:rsidR="004C0429">
          <w:rPr>
            <w:noProof/>
            <w:webHidden/>
          </w:rPr>
          <w:t>21</w:t>
        </w:r>
        <w:r w:rsidR="00B14F8E">
          <w:rPr>
            <w:noProof/>
            <w:webHidden/>
          </w:rPr>
          <w:fldChar w:fldCharType="end"/>
        </w:r>
      </w:hyperlink>
    </w:p>
    <w:p w14:paraId="012489EF" w14:textId="71D80FFC" w:rsidR="00B14F8E" w:rsidRDefault="00F21984">
      <w:pPr>
        <w:pStyle w:val="Tabladeilustraciones"/>
        <w:tabs>
          <w:tab w:val="right" w:leader="dot" w:pos="8493"/>
        </w:tabs>
        <w:rPr>
          <w:rFonts w:eastAsiaTheme="minorEastAsia" w:cstheme="minorBidi"/>
          <w:noProof/>
          <w:lang w:val="en-US"/>
        </w:rPr>
      </w:pPr>
      <w:hyperlink w:anchor="_Toc9171811" w:history="1">
        <w:r w:rsidR="00B14F8E" w:rsidRPr="005E30CA">
          <w:rPr>
            <w:rStyle w:val="Hipervnculo"/>
            <w:rFonts w:eastAsia="Calibri"/>
            <w:noProof/>
          </w:rPr>
          <w:t>Gráfico 7: Clústeres de estaciones para el distrito de San Isidro</w:t>
        </w:r>
        <w:r w:rsidR="00B14F8E">
          <w:rPr>
            <w:noProof/>
            <w:webHidden/>
          </w:rPr>
          <w:tab/>
        </w:r>
        <w:r w:rsidR="00B14F8E">
          <w:rPr>
            <w:noProof/>
            <w:webHidden/>
          </w:rPr>
          <w:fldChar w:fldCharType="begin"/>
        </w:r>
        <w:r w:rsidR="00B14F8E">
          <w:rPr>
            <w:noProof/>
            <w:webHidden/>
          </w:rPr>
          <w:instrText xml:space="preserve"> PAGEREF _Toc9171811 \h </w:instrText>
        </w:r>
        <w:r w:rsidR="00B14F8E">
          <w:rPr>
            <w:noProof/>
            <w:webHidden/>
          </w:rPr>
        </w:r>
        <w:r w:rsidR="00B14F8E">
          <w:rPr>
            <w:noProof/>
            <w:webHidden/>
          </w:rPr>
          <w:fldChar w:fldCharType="separate"/>
        </w:r>
        <w:r w:rsidR="004C0429">
          <w:rPr>
            <w:noProof/>
            <w:webHidden/>
          </w:rPr>
          <w:t>37</w:t>
        </w:r>
        <w:r w:rsidR="00B14F8E">
          <w:rPr>
            <w:noProof/>
            <w:webHidden/>
          </w:rPr>
          <w:fldChar w:fldCharType="end"/>
        </w:r>
      </w:hyperlink>
    </w:p>
    <w:p w14:paraId="668B6973" w14:textId="43DD827A" w:rsidR="00CD64C6" w:rsidRPr="00074369" w:rsidRDefault="00C26DD6">
      <w:pPr>
        <w:spacing w:after="200" w:line="276" w:lineRule="auto"/>
        <w:jc w:val="left"/>
      </w:pPr>
      <w:r w:rsidRPr="00074369">
        <w:fldChar w:fldCharType="end"/>
      </w:r>
      <w:r w:rsidR="00CD64C6" w:rsidRPr="00074369">
        <w:br w:type="page"/>
      </w:r>
    </w:p>
    <w:p w14:paraId="6CB3E91E" w14:textId="54B9C6E6" w:rsidR="002215E6" w:rsidRPr="00074369" w:rsidRDefault="00A91D92" w:rsidP="000D15A3">
      <w:pPr>
        <w:pStyle w:val="Ttulo1"/>
      </w:pPr>
      <w:bookmarkStart w:id="2" w:name="_Toc11178396"/>
      <w:r w:rsidRPr="00074369">
        <w:lastRenderedPageBreak/>
        <w:t>Introducción</w:t>
      </w:r>
      <w:bookmarkEnd w:id="2"/>
    </w:p>
    <w:p w14:paraId="0D5B2368" w14:textId="3253E9C6" w:rsidR="00277C8B" w:rsidRPr="00074369" w:rsidRDefault="00277C8B" w:rsidP="00F57A1B">
      <w:r w:rsidRPr="00074369">
        <w:t xml:space="preserve">En el mercado para venta combustibles a nivel minorista tenemos numerosas estaciones que venden un producto homogéneo a consumidores que se preocupan </w:t>
      </w:r>
      <w:r w:rsidR="00B320D1">
        <w:t>por</w:t>
      </w:r>
      <w:r w:rsidRPr="00074369">
        <w:t xml:space="preserve">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w:t>
      </w:r>
      <w:r w:rsidR="00B320D1">
        <w:t xml:space="preserve">con datos de panel para determinar el efecto en los precios de los combustibles </w:t>
      </w:r>
      <w:r w:rsidR="0008328C">
        <w:t>a nivel minorista de una adquisición de un grupo de estaciones en Lima Metropolitana.</w:t>
      </w:r>
      <w:r w:rsidRPr="00074369">
        <w:t xml:space="preserve"> </w:t>
      </w:r>
      <w:commentRangeStart w:id="3"/>
      <w:r w:rsidRPr="00074369">
        <w:t xml:space="preserve">El principal resultado muestra </w:t>
      </w:r>
      <w:r w:rsidR="0008328C">
        <w:t>que una</w:t>
      </w:r>
      <w:r w:rsidRPr="00074369">
        <w:t xml:space="preserve"> consolidación en el mercado de combustibles, aun cuando la infraestructura de las estaciones compradas ni la marca visible</w:t>
      </w:r>
      <w:r w:rsidR="0008328C">
        <w:t xml:space="preserve"> al consumidor</w:t>
      </w:r>
      <w:r w:rsidRPr="00074369">
        <w:t xml:space="preserve"> cambian, generan un aumento de precios </w:t>
      </w:r>
      <w:r w:rsidR="00E933D6" w:rsidRPr="00074369">
        <w:t xml:space="preserve">de alrededor de </w:t>
      </w:r>
      <w:r w:rsidR="0008328C" w:rsidRPr="00D10CEA">
        <w:t>8</w:t>
      </w:r>
      <w:r w:rsidR="00E933D6" w:rsidRPr="00D10CEA">
        <w:t xml:space="preserve"> centavos </w:t>
      </w:r>
      <w:r w:rsidRPr="00D10CEA">
        <w:t xml:space="preserve">en las estaciones adquiridas, y </w:t>
      </w:r>
      <w:r w:rsidR="00E933D6" w:rsidRPr="00D10CEA">
        <w:t xml:space="preserve">de </w:t>
      </w:r>
      <w:r w:rsidR="00D10CEA" w:rsidRPr="00D10CEA">
        <w:t>5</w:t>
      </w:r>
      <w:r w:rsidR="00E933D6" w:rsidRPr="00D10CEA">
        <w:t xml:space="preserve"> centavos en las estaciones vecinas a las </w:t>
      </w:r>
      <w:commentRangeStart w:id="4"/>
      <w:r w:rsidR="00E933D6" w:rsidRPr="00D10CEA">
        <w:t>adquiridas</w:t>
      </w:r>
      <w:commentRangeEnd w:id="4"/>
      <w:r w:rsidR="00320052" w:rsidRPr="00D10CEA">
        <w:rPr>
          <w:rStyle w:val="Refdecomentario"/>
        </w:rPr>
        <w:commentReference w:id="4"/>
      </w:r>
      <w:r w:rsidR="00E933D6" w:rsidRPr="00074369">
        <w:t>.</w:t>
      </w:r>
      <w:commentRangeEnd w:id="3"/>
      <w:r w:rsidR="00CC0ED4">
        <w:rPr>
          <w:rStyle w:val="Refdecomentario"/>
        </w:rPr>
        <w:commentReference w:id="3"/>
      </w:r>
    </w:p>
    <w:p w14:paraId="05E09841" w14:textId="654ADA23" w:rsidR="00E933D6" w:rsidRPr="00074369" w:rsidRDefault="00E933D6" w:rsidP="00500461">
      <w:r w:rsidRPr="00074369">
        <w:t xml:space="preserve">Las estaciones de la cadena Peruana de Combustibles </w:t>
      </w:r>
      <w:r w:rsidR="000E4DBD" w:rsidRPr="00074369">
        <w:t>S.A (Pecsa)</w:t>
      </w:r>
      <w:r w:rsidRPr="00074369">
        <w:t xml:space="preserve"> fueron adquiridas por Corporación Primax, el principal minorista de combustibles líquidos en país, a inicios del 2018. Este evento permite la identificación del efecto de</w:t>
      </w:r>
      <w:r w:rsidR="007E7D1D" w:rsidRPr="00074369">
        <w:t xml:space="preserve">l poder de mercado </w:t>
      </w:r>
      <w:r w:rsidR="00500461" w:rsidRPr="00074369">
        <w:t>en los precios</w:t>
      </w:r>
      <w:r w:rsidR="007E7D1D" w:rsidRPr="00074369">
        <w:t xml:space="preserve"> del mercado de combustibles</w:t>
      </w:r>
      <w:r w:rsidRPr="00074369">
        <w:t xml:space="preserve">. </w:t>
      </w:r>
      <w:r w:rsidR="007E7D1D" w:rsidRPr="00074369">
        <w:t xml:space="preserve">Utilizando observaciones antes y después del momento de compra, </w:t>
      </w:r>
      <w:commentRangeStart w:id="5"/>
      <w:r w:rsidR="007E7D1D" w:rsidRPr="00074369">
        <w:t xml:space="preserve">el enfoque de </w:t>
      </w:r>
      <w:r w:rsidR="00D10CEA">
        <w:t>panel espacial</w:t>
      </w:r>
      <w:r w:rsidR="007E7D1D" w:rsidRPr="00074369">
        <w:t xml:space="preserve"> con efectos fijos de tiempo permite controlar por factores no observables a nivel de estación y en el tiempo. Este diseño de investigación sigue lo realizado por Hastings </w:t>
      </w:r>
      <w:r w:rsidR="007E7D1D" w:rsidRPr="00074369">
        <w:fldChar w:fldCharType="begin"/>
      </w:r>
      <w:r w:rsidR="00D32568">
        <w:instrText xml:space="preserve"> ADDIN ZOTERO_ITEM CSL_CITATION {"citationID":"qXetEibG","properties":{"formattedCitation":"(2004)","plainCitation":"(2004)","noteIndex":0},"citationItems":[{"id":685,"uris":["http://zotero.org/groups/2269288/items/R4UZQ3CV"],"uri":["http://zotero.org/groups/2269288/items/R4UZQ3CV"],"itemData":{"id":685,"type":"article-journal","container-title":"The American Economic Review","ISSN":"0002-8282","issue":"1","note":"Citation Key: hastingsVerticalRelationshipsCompetition2004","page":"317-328","source":"JSTOR","title":"Vertical Relationships and Competition in Retail Gasoline Markets: Empirical Evidence from Contract Changes in Southern California","title-short":"Vertical Relationships and Competition in Retail Gasoline Markets","volume":"94","author":[{"family":"Hastings","given":"Justine S."}],"issued":{"date-parts":[["2004"]]}},"suppress-author":true}],"schema":"https://github.com/citation-style-language/schema/raw/master/csl-citation.json"} </w:instrText>
      </w:r>
      <w:r w:rsidR="007E7D1D" w:rsidRPr="00074369">
        <w:fldChar w:fldCharType="separate"/>
      </w:r>
      <w:r w:rsidR="00D32568" w:rsidRPr="00D32568">
        <w:rPr>
          <w:rFonts w:ascii="Times New Roman" w:hAnsi="Times New Roman"/>
        </w:rPr>
        <w:t>(2004)</w:t>
      </w:r>
      <w:r w:rsidR="007E7D1D" w:rsidRPr="00074369">
        <w:fldChar w:fldCharType="end"/>
      </w:r>
      <w:r w:rsidR="007E7D1D" w:rsidRPr="00074369">
        <w:t xml:space="preserve"> y </w:t>
      </w:r>
      <w:proofErr w:type="spellStart"/>
      <w:r w:rsidR="007E7D1D" w:rsidRPr="00074369">
        <w:t>Pennerstorfer</w:t>
      </w:r>
      <w:proofErr w:type="spellEnd"/>
      <w:r w:rsidR="007E7D1D" w:rsidRPr="00074369">
        <w:t xml:space="preserve"> y Weiss </w:t>
      </w:r>
      <w:r w:rsidR="007E7D1D" w:rsidRPr="00074369">
        <w:fldChar w:fldCharType="begin"/>
      </w:r>
      <w:r w:rsidR="006F6D84">
        <w:instrText xml:space="preserve"> ADDIN ZOTERO_ITEM CSL_CITATION {"citationID":"svXtA5YN","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007E7D1D" w:rsidRPr="00074369">
        <w:fldChar w:fldCharType="separate"/>
      </w:r>
      <w:r w:rsidR="00355C59" w:rsidRPr="00355C59">
        <w:rPr>
          <w:rFonts w:ascii="Times New Roman" w:hAnsi="Times New Roman"/>
        </w:rPr>
        <w:t>(2013)</w:t>
      </w:r>
      <w:r w:rsidR="007E7D1D" w:rsidRPr="00074369">
        <w:fldChar w:fldCharType="end"/>
      </w:r>
      <w:r w:rsidR="007E7D1D" w:rsidRPr="00074369">
        <w:t>.</w:t>
      </w:r>
      <w:r w:rsidR="00D10CEA">
        <w:t xml:space="preserve"> A manera de validación, se encontraron resultados que indican aumento de precios luego de la adquisición utilizando panel fijo no espacial con efectos fijos en espaciales y temporales, y utilizando la metodología de diferencias-en-diferencias</w:t>
      </w:r>
      <w:commentRangeEnd w:id="5"/>
      <w:r w:rsidR="00CC0ED4">
        <w:rPr>
          <w:rStyle w:val="Refdecomentario"/>
        </w:rPr>
        <w:commentReference w:id="5"/>
      </w:r>
      <w:r w:rsidR="00D10CEA">
        <w:t>.</w:t>
      </w:r>
      <w:r w:rsidR="007E7D1D" w:rsidRPr="00074369">
        <w:t xml:space="preserve"> </w:t>
      </w:r>
      <w:r w:rsidRPr="00074369">
        <w:t xml:space="preserve">Para implementar este análisis, se </w:t>
      </w:r>
      <w:r w:rsidR="00500461" w:rsidRPr="00074369">
        <w:t xml:space="preserve">utiliza la información de precios de combustibles </w:t>
      </w:r>
      <w:r w:rsidR="00320052" w:rsidRPr="00074369">
        <w:t>a partir de la base de datos de</w:t>
      </w:r>
      <w:r w:rsidR="00500461" w:rsidRPr="00074369">
        <w:t xml:space="preserve">l Organismo Supervisor de la Inversión en Energía y Minería (OSINERGMIN) para los años 2017 y 2018. </w:t>
      </w:r>
      <w:r w:rsidR="00320052" w:rsidRPr="00074369">
        <w:t>L</w:t>
      </w:r>
      <w:r w:rsidR="00500461" w:rsidRPr="00074369">
        <w:t xml:space="preserve">a información de las características de las estaciones </w:t>
      </w:r>
      <w:r w:rsidR="00320052" w:rsidRPr="00074369">
        <w:t xml:space="preserve">y sus coordenadas geográficas </w:t>
      </w:r>
      <w:r w:rsidR="00500461" w:rsidRPr="00074369">
        <w:t>fue recolectada manualmente.</w:t>
      </w:r>
    </w:p>
    <w:p w14:paraId="50A44859" w14:textId="638A3495" w:rsidR="007E7D1D" w:rsidRPr="00074369" w:rsidRDefault="007E7D1D" w:rsidP="00500461">
      <w:commentRangeStart w:id="6"/>
      <w:r w:rsidRPr="00074369">
        <w:t>A pesar del interés público en los precios de los combustibles, son pocas las contribuciones de la literatura en este tema</w:t>
      </w:r>
      <w:r w:rsidR="00331AC7">
        <w:t xml:space="preserve"> estudiando al mercado peruano</w:t>
      </w:r>
      <w:r w:rsidRPr="00074369">
        <w:t xml:space="preserve">. En ese sentido, el trabajo de Aurazo y Rojas </w:t>
      </w:r>
      <w:r w:rsidRPr="00074369">
        <w:fldChar w:fldCharType="begin"/>
      </w:r>
      <w:r w:rsidR="00627F5E">
        <w:instrText xml:space="preserve"> ADDIN ZOTERO_ITEM CSL_CITATION {"citationID":"p4coFNXv","properties":{"formattedCitation":"(2018)","plainCitation":"(2018)","noteIndex":0},"citationItems":[{"id":663,"uris":["http://zotero.org/groups/2269288/items/GWDSQSPP"],"uri":["http://zotero.org/groups/2269288/items/GWDSQSPP"],"itemData":{"id":663,"type":"thesis","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investigación","note":"Dissertation/Thesis\nCitation Key: aurazoiglesiasModeloCompetenciaEspacial2018","publisher":"Perú","title":"Modelo de competencia espacial: una aplicación al mercado retail del GNV en el Perú","author":[{"family":"Aurazo Iglesias","given":"José Gregorio"},{"family":"Rojas Milla","given":"Pedro César"}],"issued":{"date-parts":[["2018"]]}},"suppress-author":true}],"schema":"https://github.com/citation-style-language/schema/raw/master/csl-citation.json"} </w:instrText>
      </w:r>
      <w:r w:rsidRPr="00074369">
        <w:fldChar w:fldCharType="separate"/>
      </w:r>
      <w:r w:rsidR="00627F5E" w:rsidRPr="00627F5E">
        <w:rPr>
          <w:rFonts w:ascii="Times New Roman" w:hAnsi="Times New Roman"/>
        </w:rPr>
        <w:t>(2018)</w:t>
      </w:r>
      <w:r w:rsidRPr="00074369">
        <w:fldChar w:fldCharType="end"/>
      </w:r>
      <w:r w:rsidRPr="00074369">
        <w:t xml:space="preserve"> es el antecedente más cercano y relevante, al estudiar el tipo de competencia espacial en el mercado de gas natural de Lima y Callao utilizando información sobre precios y cantidades </w:t>
      </w:r>
      <w:r w:rsidRPr="00074369">
        <w:lastRenderedPageBreak/>
        <w:t>vendidas por distrito. La presente investigación difiere al tratar un mercado mucho más competitivo y establecido, que tiene un producto sin precios fijados por el gobierno y con un efecto distinto al no tener acceso a información sobre cantidades vendidas de combustible.</w:t>
      </w:r>
      <w:commentRangeEnd w:id="6"/>
      <w:r w:rsidR="00CC0ED4">
        <w:rPr>
          <w:rStyle w:val="Refdecomentario"/>
        </w:rPr>
        <w:commentReference w:id="6"/>
      </w:r>
    </w:p>
    <w:p w14:paraId="5A961EBA" w14:textId="43F1F633" w:rsidR="006707EB" w:rsidRPr="00074369" w:rsidRDefault="00173517" w:rsidP="00F57A1B">
      <w:r w:rsidRPr="00074369">
        <w:t>E</w:t>
      </w:r>
      <w:r w:rsidR="006707EB" w:rsidRPr="00074369">
        <w:t xml:space="preserve">l presente trabajo se organiza de la siguiente manera. El capítulo II contiene </w:t>
      </w:r>
      <w:r w:rsidR="00D5579C" w:rsidRPr="00074369">
        <w:t xml:space="preserve">la </w:t>
      </w:r>
      <w:r w:rsidR="00221CA5" w:rsidRPr="00074369">
        <w:t xml:space="preserve">revisión </w:t>
      </w:r>
      <w:r w:rsidR="00DB157A" w:rsidRPr="00074369">
        <w:t xml:space="preserve">de la literatura de trabajos relacionados </w:t>
      </w:r>
      <w:r w:rsidR="00612E37" w:rsidRPr="00074369">
        <w:t>al efecto de las adquisiciones y fusiones en los precios</w:t>
      </w:r>
      <w:r w:rsidR="00DB157A" w:rsidRPr="00074369">
        <w:t xml:space="preserve">, </w:t>
      </w:r>
      <w:r w:rsidR="00D5579C" w:rsidRPr="00074369">
        <w:t>y la descripción de los modelos de econometría espacial utilizados</w:t>
      </w:r>
      <w:r w:rsidR="006707EB" w:rsidRPr="00074369">
        <w:t>. El capítulo III</w:t>
      </w:r>
      <w:r w:rsidR="00D5579C" w:rsidRPr="00074369">
        <w:t xml:space="preserve"> se describe el funcionamiento del mercado de combustibles líquidos, seguido por </w:t>
      </w:r>
      <w:r w:rsidR="006707EB" w:rsidRPr="00074369">
        <w:t xml:space="preserve">las particularidades del mercado de combustibles en Lima Metropolitana. </w:t>
      </w:r>
      <w:r w:rsidRPr="00074369">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Pr="00074369" w:rsidRDefault="00513B65" w:rsidP="00F57A1B"/>
    <w:p w14:paraId="5976AE01" w14:textId="77777777" w:rsidR="00067D45" w:rsidRPr="00074369" w:rsidRDefault="00067D45" w:rsidP="00F57A1B">
      <w:r w:rsidRPr="00074369">
        <w:br w:type="page"/>
      </w:r>
    </w:p>
    <w:p w14:paraId="5AB78CEF" w14:textId="7D19FCA2" w:rsidR="00A91D92" w:rsidRPr="00074369" w:rsidRDefault="001D7AC0" w:rsidP="000D15A3">
      <w:pPr>
        <w:pStyle w:val="Ttulo1"/>
      </w:pPr>
      <w:bookmarkStart w:id="7" w:name="_Ref5724450"/>
      <w:bookmarkStart w:id="8" w:name="_Toc11178397"/>
      <w:r w:rsidRPr="00074369">
        <w:lastRenderedPageBreak/>
        <w:t>Marco Teórico</w:t>
      </w:r>
      <w:bookmarkEnd w:id="7"/>
      <w:bookmarkEnd w:id="8"/>
    </w:p>
    <w:p w14:paraId="55FA3127" w14:textId="77777777" w:rsidR="00D5015B" w:rsidRDefault="00D5015B" w:rsidP="00D5015B">
      <w:pPr>
        <w:pStyle w:val="Ttulo2"/>
      </w:pPr>
      <w:bookmarkStart w:id="9" w:name="_Toc9091648"/>
      <w:bookmarkStart w:id="10" w:name="_Toc9171063"/>
      <w:bookmarkStart w:id="11" w:name="_Toc11178399"/>
      <w:bookmarkStart w:id="12" w:name="_Toc9091649"/>
      <w:bookmarkStart w:id="13" w:name="_Toc9171064"/>
      <w:bookmarkStart w:id="14" w:name="_Toc11178400"/>
      <w:bookmarkStart w:id="15" w:name="X2b313441ddbaef42fad26d9a7d0f9afef467cf4"/>
      <w:bookmarkEnd w:id="9"/>
      <w:bookmarkEnd w:id="10"/>
      <w:bookmarkEnd w:id="11"/>
      <w:bookmarkEnd w:id="12"/>
      <w:bookmarkEnd w:id="13"/>
      <w:bookmarkEnd w:id="14"/>
      <w:r>
        <w:t>Consolidación horizontal y la paradoja de Cournot</w:t>
      </w:r>
    </w:p>
    <w:p w14:paraId="7A3C9615" w14:textId="7A81E20E" w:rsidR="00D5015B" w:rsidRDefault="00D5015B" w:rsidP="00D5015B">
      <w:r>
        <w:t xml:space="preserve">Las fusiones y adquisiciones representan oportunidades para que, a través de economías de escala, se produzcan eficiencias que permitan reducir los costos a los consumidores finales. Por otra parte, también existe la posibilidad que el incremento de poder mercado permita a las firmas que se fusionan y a sus competidoras enfrentar menor competencia y aumentar sus ganancias. A su vez, con menos firmas restantes, estás pueden asumir un comportamiento colusivo más fácilmente </w:t>
      </w:r>
      <w:r>
        <w:fldChar w:fldCharType="begin"/>
      </w:r>
      <w:r w:rsidR="00355C59">
        <w:instrText xml:space="preserve"> ADDIN ZOTERO_ITEM CSL_CITATION {"citationID":"gqbhjgzi","properties":{"formattedCitation":"(Jacquemin y Slade, 1989)","plainCitation":"(Jacquemin y Slade, 1989)","noteIndex":0},"citationItems":[{"id":985,"uris":["http://zotero.org/users/358961/items/SM9RZKEG"],"uri":["http://zotero.org/users/358961/items/SM9RZKEG"],"itemData":{"id":985,"type":"article-journal","container-title":"Handbook of industrial organization","note":"publisher: Elsevier\nCitation Key: jacqueminCartelsCollusionHorizontal1989","page":"415–473","source":"Google Scholar","title":"Cartels, collusion, and horizontal merger","volume":"1","author":[{"family":"Jacquemin","given":"Alexis"},{"family":"Slade","given":"Margaret E."}],"issued":{"date-parts":[["1989"]]}},"prefix":"","suffix":""}],"schema":"https://github.com/citation-style-language/schema/raw/master/csl-citation.json"} </w:instrText>
      </w:r>
      <w:r>
        <w:fldChar w:fldCharType="separate"/>
      </w:r>
      <w:r w:rsidR="00355C59" w:rsidRPr="00355C59">
        <w:rPr>
          <w:rFonts w:ascii="Times New Roman" w:hAnsi="Times New Roman"/>
        </w:rPr>
        <w:t>(Jacquemin y Slade, 1989)</w:t>
      </w:r>
      <w:r>
        <w:fldChar w:fldCharType="end"/>
      </w:r>
      <w:r>
        <w:t>. Debido a ello, muchos países cuentan con agencias de regulan y revisan las posibles fusiones y adquisiciones, con el objetivo de evitar incrementos de precios anticompetitivos.</w:t>
      </w:r>
    </w:p>
    <w:p w14:paraId="01569992" w14:textId="7AA695DC" w:rsidR="00D5015B" w:rsidRDefault="00D5015B" w:rsidP="00D5015B">
      <w:r>
        <w:t>Esta intuición no es capturada en todos los modelos de oligopolio. En lo que se conoce como la paradoja de fusión de Cournot,</w:t>
      </w:r>
      <w:r w:rsidR="00D32568">
        <w:t xml:space="preserve"> </w:t>
      </w:r>
      <w:r w:rsidR="00D32568" w:rsidRPr="00355C59">
        <w:rPr>
          <w:rFonts w:ascii="Times New Roman" w:hAnsi="Times New Roman"/>
          <w:szCs w:val="24"/>
        </w:rPr>
        <w:t>Salant et al.</w:t>
      </w:r>
      <w:r>
        <w:t xml:space="preserve"> </w:t>
      </w:r>
      <w:r>
        <w:fldChar w:fldCharType="begin"/>
      </w:r>
      <w:r w:rsidR="00D32568">
        <w:instrText xml:space="preserve"> ADDIN ZOTERO_ITEM CSL_CITATION {"citationID":"SMgldUnc","properties":{"formattedCitation":"(1983)","plainCitation":"(1983)","noteIndex":0},"citationItems":[{"id":942,"uris":["http://zotero.org/users/358961/items/QG3CC5KR"],"uri":["http://zotero.org/users/358961/items/QG3CC5KR"],"itemData":{"id":942,"type":"article-journal","container-title":"The Quarterly Journal of Economics","DOI":"10.2307/1885620","ISSN":"00335533","issue":"2","journalAbbreviation":"The Quarterly Journal of Economics","language":"en","note":"Citation Key: salantLossesHorizontalMerger1983","page":"185","source":"DOI.org (Crossref)","title":"Losses from Horizontal Merger: The Effects of an Exogenous Change in Industry Structure on Cournot-Nash Equilibrium","title-short":"Losses from Horizontal Merger","volume":"98","author":[{"family":"Salant","given":"Stephen W."},{"family":"Switzer","given":"Sheldon"},{"family":"Reynolds","given":"Robert J."}],"issued":{"date-parts":[["1983",5]]}},"suppress-author":true}],"schema":"https://github.com/citation-style-language/schema/raw/master/csl-citation.json"} </w:instrText>
      </w:r>
      <w:r>
        <w:fldChar w:fldCharType="separate"/>
      </w:r>
      <w:r w:rsidR="00D32568" w:rsidRPr="00D32568">
        <w:rPr>
          <w:rFonts w:ascii="Times New Roman" w:hAnsi="Times New Roman"/>
        </w:rPr>
        <w:t>(1983)</w:t>
      </w:r>
      <w:r>
        <w:fldChar w:fldCharType="end"/>
      </w:r>
      <w:r>
        <w:t xml:space="preserve"> mostró que en un juego simétrico de Cournot con bienes homogéneos, las ganancias de la fusión son capturadas por las firmas externas a la misma, en tanto que las firmas participantes ven una reducción en sus beneficios. En este contexto, la firma consolidada tiene incentivo a reducir su producción para aumentar los precios. Pero la </w:t>
      </w:r>
      <w:r w:rsidR="00D32568">
        <w:t>respuesta estratégica</w:t>
      </w:r>
      <w:r>
        <w:t xml:space="preserve"> de los rivales es incrementar parcialmente su producción. En el agregado, la fusión logra aumentar los precios, pero las firmas participantes en la fusión tienen menos ganancias debido a su reducción en su cantidad producida.</w:t>
      </w:r>
    </w:p>
    <w:p w14:paraId="724E25EA" w14:textId="3D17C332" w:rsidR="00D5015B" w:rsidRDefault="00D5015B" w:rsidP="00D5015B">
      <w:r>
        <w:t xml:space="preserve">Sin embargo, es claro que muchas industrias no se ajustan a un modelo de productos homogéneos con firmas que eligen niveles de producción. </w:t>
      </w:r>
      <w:r>
        <w:fldChar w:fldCharType="begin"/>
      </w:r>
      <w:r w:rsidR="00355C59">
        <w:instrText xml:space="preserve"> ADDIN ZOTERO_ITEM CSL_CITATION {"citationID":"uclqzruo","properties":{"formattedCitation":"(Deneckere y Davidson, 1985)","plainCitation":"(Deneckere y Davidson, 1985)","noteIndex":0},"citationItems":[{"id":916,"uris":["http://zotero.org/users/358961/items/F9SBSDUG"],"uri":["http://zotero.org/users/358961/items/F9SBSDUG"],"itemData":{"id":916,"type":"article-journal","container-title":"The RAND Journal of Economics","DOI":"10.2307/2555507","ISSN":"07416261","issue":"4","journalAbbreviation":"The RAND Journal of Economics","language":"en","note":"Citation Key: deneckereIncentivesFormCoalitions24","page":"473","source":"DOI.org (Crossref)","title":"Incentives to Form Coalitions with Bertrand Competition","volume":"16","author":[{"family":"Deneckere","given":"Raymond"},{"family":"Davidson","given":"Carl"}],"issued":{"date-parts":[["1985"]]}},"prefix":"","suffix":""}],"schema":"https://github.com/citation-style-language/schema/raw/master/csl-citation.json"} </w:instrText>
      </w:r>
      <w:r>
        <w:fldChar w:fldCharType="separate"/>
      </w:r>
      <w:r w:rsidR="00355C59" w:rsidRPr="00355C59">
        <w:rPr>
          <w:rFonts w:ascii="Times New Roman" w:hAnsi="Times New Roman"/>
        </w:rPr>
        <w:t>(Deneckere y Davidson, 1985)</w:t>
      </w:r>
      <w:r>
        <w:fldChar w:fldCharType="end"/>
      </w:r>
      <w:r>
        <w:t xml:space="preserve"> plantea como respuesta un modelo de competencia en precios a la Bertrand, con productos diferenciados </w:t>
      </w:r>
      <w:r w:rsidR="00562BE8">
        <w:t>ya que,</w:t>
      </w:r>
      <w:r>
        <w:t xml:space="preserve"> para muchas industrias, la variable estratégica que fijan es el precio. Bajo ese escenario, muestra que fusiones de cualquier tamaño pueden ser beneficiosas para todas las firmas del mercado.</w:t>
      </w:r>
      <w:r w:rsidR="00562BE8">
        <w:t xml:space="preserve"> </w:t>
      </w:r>
      <w:r w:rsidR="00562BE8" w:rsidRPr="00562BE8">
        <w:rPr>
          <w:highlight w:val="yellow"/>
        </w:rPr>
        <w:t>Estos modelos fueron ampliados por XXX</w:t>
      </w:r>
    </w:p>
    <w:p w14:paraId="3B1184D6" w14:textId="7ACC5AF2" w:rsidR="00D5015B" w:rsidRDefault="00D5015B" w:rsidP="00D5015B">
      <w:r>
        <w:t xml:space="preserve">Como indica </w:t>
      </w:r>
      <w:r>
        <w:fldChar w:fldCharType="begin"/>
      </w:r>
      <w:r w:rsidR="00355C59">
        <w:instrText xml:space="preserve"> ADDIN ZOTERO_ITEM CSL_CITATION {"citationID":"bwbhzbaa","properties":{"formattedCitation":"(Farrell y Shapiro, 1990)","plainCitation":"(Farrell y Shapiro, 1990)","noteIndex":0},"citationItems":[{"id":569,"uris":["http://zotero.org/users/358961/items/822HVAFN"],"uri":["http://zotero.org/users/358961/items/822HVAFN"],"itemData":{"id":569,"type":"article-journal","container-title":"The American Economic Review","issue":"1","language":"en","note":"Citation Key: farrellHorizontalMergersEquilibrium1990","page":"107-126","source":"Zotero","title":"Horizontal Mergers: An Equilibrium Analysis","volume":"80","author":[{"family":"Farrell","given":"Joseph"},{"family":"Shapiro","given":"Carl"}],"issued":{"date-parts":[["1990"]]}},"prefix":"","suffix":""}],"schema":"https://github.com/citation-style-language/schema/raw/master/csl-citation.json"} </w:instrText>
      </w:r>
      <w:r>
        <w:fldChar w:fldCharType="separate"/>
      </w:r>
      <w:r w:rsidR="00355C59" w:rsidRPr="00355C59">
        <w:rPr>
          <w:rFonts w:ascii="Times New Roman" w:hAnsi="Times New Roman"/>
        </w:rPr>
        <w:t>(Farrell y Shapiro, 1990)</w:t>
      </w:r>
      <w:r>
        <w:fldChar w:fldCharType="end"/>
      </w:r>
      <w:r>
        <w:t xml:space="preserve">, la elección entre un modelo de fijación de precios o cantidades no puede hacerse sin conocer la industria en específico, de manera que refleje la tecnología de producción, así como los mecanismos de venta. Por ejemplo, una subasta a sobre cerrado con firmas sin limitaciones de capacidad se ajusta al modelo de Bertrand, en tanto </w:t>
      </w:r>
      <w:r w:rsidR="00D32568">
        <w:t>que,</w:t>
      </w:r>
      <w:r>
        <w:t xml:space="preserve"> si </w:t>
      </w:r>
      <w:r>
        <w:lastRenderedPageBreak/>
        <w:t xml:space="preserve">las firmas deben decidir la capacidad de la planta de </w:t>
      </w:r>
      <w:r w:rsidR="00D32568">
        <w:t>producción</w:t>
      </w:r>
      <w:r>
        <w:t>, que es un costo hundido, se ajusta a Cournot.</w:t>
      </w:r>
    </w:p>
    <w:p w14:paraId="2A21CA4E" w14:textId="77777777" w:rsidR="00D5015B" w:rsidRDefault="00D5015B" w:rsidP="00D5015B">
      <w:pPr>
        <w:pStyle w:val="Ttulo2"/>
      </w:pPr>
      <w:bookmarkStart w:id="16" w:name="X8788128ad6ea529b34d85f87c9ad55e457b49f2"/>
      <w:bookmarkEnd w:id="15"/>
      <w:r>
        <w:t>Evidencia empírica de los efectos en precios</w:t>
      </w:r>
    </w:p>
    <w:p w14:paraId="6D5ACD87" w14:textId="3D625B22" w:rsidR="00D5015B" w:rsidRDefault="00D5015B" w:rsidP="00D5015B">
      <w:r>
        <w:t xml:space="preserve">A la par de los modelos mencionados, otros investigadores han realizado variaciones que explicar muchos hechos estilizados. Una revisión de los mismos puede ser encontrado en </w:t>
      </w:r>
      <w:r w:rsidR="00D32568" w:rsidRPr="00355C59">
        <w:rPr>
          <w:rFonts w:ascii="Times New Roman" w:hAnsi="Times New Roman"/>
        </w:rPr>
        <w:t>Jacquemin y Slade</w:t>
      </w:r>
      <w:r w:rsidR="00D32568">
        <w:t xml:space="preserve"> </w:t>
      </w:r>
      <w:r>
        <w:fldChar w:fldCharType="begin"/>
      </w:r>
      <w:r w:rsidR="00D32568">
        <w:instrText xml:space="preserve"> ADDIN ZOTERO_ITEM CSL_CITATION {"citationID":"ptC67JKq","properties":{"formattedCitation":"(1989)","plainCitation":"(1989)","noteIndex":0},"citationItems":[{"id":985,"uris":["http://zotero.org/users/358961/items/SM9RZKEG"],"uri":["http://zotero.org/users/358961/items/SM9RZKEG"],"itemData":{"id":985,"type":"article-journal","container-title":"Handbook of industrial organization","note":"publisher: Elsevier\nCitation Key: jacqueminCartelsCollusionHorizontal1989","page":"415–473","source":"Google Scholar","title":"Cartels, collusion, and horizontal merger","volume":"1","author":[{"family":"Jacquemin","given":"Alexis"},{"family":"Slade","given":"Margaret E."}],"issued":{"date-parts":[["1989"]]}},"suppress-author":true}],"schema":"https://github.com/citation-style-language/schema/raw/master/csl-citation.json"} </w:instrText>
      </w:r>
      <w:r>
        <w:fldChar w:fldCharType="separate"/>
      </w:r>
      <w:r w:rsidR="00D32568" w:rsidRPr="00D32568">
        <w:rPr>
          <w:rFonts w:ascii="Times New Roman" w:hAnsi="Times New Roman"/>
        </w:rPr>
        <w:t>(1989)</w:t>
      </w:r>
      <w:r>
        <w:fldChar w:fldCharType="end"/>
      </w:r>
      <w:r>
        <w:t>. Por esto, resulta importante revisar que evidencias existen de la influencia de las fusiones horizontales en los precios.</w:t>
      </w:r>
    </w:p>
    <w:p w14:paraId="4F8BA0EA" w14:textId="69B2F518" w:rsidR="00D5015B" w:rsidRDefault="00D5015B" w:rsidP="00D5015B">
      <w:r>
        <w:t>En ese sentido, producto del cambio en las guías para evaluar fusiones, desde la década de 1980 se incrementaron en gran medida la cantidad de fusiones permitidas por las autoridades en EE. UU.</w:t>
      </w:r>
      <w:r w:rsidR="00D32568" w:rsidRPr="00D32568">
        <w:rPr>
          <w:rFonts w:ascii="Times New Roman" w:hAnsi="Times New Roman"/>
          <w:szCs w:val="24"/>
        </w:rPr>
        <w:t xml:space="preserve"> </w:t>
      </w:r>
      <w:r w:rsidR="00D32568" w:rsidRPr="00355C59">
        <w:rPr>
          <w:rFonts w:ascii="Times New Roman" w:hAnsi="Times New Roman"/>
          <w:szCs w:val="24"/>
        </w:rPr>
        <w:t>Ashenfelter et al.</w:t>
      </w:r>
      <w:r>
        <w:t xml:space="preserve"> </w:t>
      </w:r>
      <w:r>
        <w:fldChar w:fldCharType="begin"/>
      </w:r>
      <w:r w:rsidR="00D32568">
        <w:instrText xml:space="preserve"> ADDIN ZOTERO_ITEM CSL_CITATION {"citationID":"9Tet0U6Y","properties":{"formattedCitation":"(2014)","plainCitation":"(2014)","noteIndex":0},"citationItems":[{"id":978,"uris":["http://zotero.org/users/358961/items/HXX6KSGM"],"uri":["http://zotero.org/users/358961/items/HXX6KSGM"],"itemData":{"id":978,"type":"article-journal","abstract":"In The Antitrust Paradox, Robert Bork viewed most mergers as either competitively neutral or efficiency enhancing. In his view, only mergers creating a dominant firm or monopoly were likely to harm consumers. Bork was especially skeptical of oligopoly concerns resulting from mergers. In this paper, we provide a critique of Bork’s views on merger policy from The Antitrust Paradox. Many of Bork’s recommendations have been implemented over time and have improved merger analysis. Bork’s proposed horizontal merger policy, however, was too permissive. In particular, the empirical record shows that mergers in oligopolistic markets can raise consumer prices.","container-title":"Journal of Law and Economics","language":"en","note":"Citation Key: ashenfelterDidRobertBork","page":"34","source":"Zotero","title":"Did Robert Bork Understate the Competitive Impact of Mergers? Evidence from Consummated Mergers","volume":"57","author":[{"family":"Ashenfelter","given":"Orley"},{"family":"Hosken","given":"Daniel"},{"family":"Weinberg","given":"Matthew"}],"issued":{"date-parts":[["2014",8]]}},"suppress-author":true}],"schema":"https://github.com/citation-style-language/schema/raw/master/csl-citation.json"} </w:instrText>
      </w:r>
      <w:r>
        <w:fldChar w:fldCharType="separate"/>
      </w:r>
      <w:r w:rsidR="00D32568" w:rsidRPr="00D32568">
        <w:rPr>
          <w:rFonts w:ascii="Times New Roman" w:hAnsi="Times New Roman"/>
        </w:rPr>
        <w:t>(2014)</w:t>
      </w:r>
      <w:r>
        <w:fldChar w:fldCharType="end"/>
      </w:r>
      <w:r>
        <w:t xml:space="preserve"> realiz</w:t>
      </w:r>
      <w:r w:rsidR="00D32568">
        <w:t>aron</w:t>
      </w:r>
      <w:r>
        <w:t xml:space="preserve"> una revisión de las evaluaciones de fusiones realizadas en dicho país, y encontró que sí pueden generar incrementos de precios, en particular en 36 de los 49 estudios revisados, encontrándose ejemplos de incrementos en todas las industrias analizadas: aerolíneas, banca, hospitales, petróleo y otros. Aunque cabe resaltar que en el caso de petróleo los estudios apuntaban fue el menos generalizable de todos por los distintos signos y magnitudes de los efectos encontrados.</w:t>
      </w:r>
    </w:p>
    <w:p w14:paraId="3AA90800" w14:textId="44A4B759" w:rsidR="00D5015B" w:rsidRDefault="00D32568" w:rsidP="00D5015B">
      <w:r w:rsidRPr="00355C59">
        <w:rPr>
          <w:rFonts w:ascii="Times New Roman" w:hAnsi="Times New Roman"/>
        </w:rPr>
        <w:t>Ashenfelter y Hosken</w:t>
      </w:r>
      <w:r>
        <w:t xml:space="preserve"> </w:t>
      </w:r>
      <w:r w:rsidR="00D5015B">
        <w:fldChar w:fldCharType="begin"/>
      </w:r>
      <w:r>
        <w:instrText xml:space="preserve"> ADDIN ZOTERO_ITEM CSL_CITATION {"citationID":"8RgjRwsW","properties":{"formattedCitation":"(2010)","plainCitation":"(2010)","noteIndex":0},"citationItems":[{"id":990,"uris":["http://zotero.org/users/358961/items/ZTIRRFI3"],"uri":["http://zotero.org/users/358961/items/ZTIRRFI3"],"itemData":{"id":990,"type":"article-journal","abstract":"In this paper we propose a method to evaluate the effectiveness of U.S. horizontal merger policy and apply it to the study of ﬁve recently consummated consumer products mergers. We select the mergers from those that, from the public record, seem most likely to be problematic. Thus, we estimate an upper bound on the likely price effect of completed mergers. Our study employs retail scanner data and uses familiar panel data program evaluation procedures to measure price changes. Our results indicate that four of the ﬁve mergers resulted in some increases in consumer prices, while the ﬁfth merger had little effect.","container-title":"The Journal of Law and Economics","DOI":"10.1086/605092","ISSN":"0022-2186, 1537-5285","issue":"3","journalAbbreviation":"The Journal of Law and Economics","language":"en","note":"Citation Key: ashenfelterEffectMergersConsumer2010","page":"417-466","source":"DOI.org (Crossref)","title":"The Effect of Mergers on Consumer Prices: Evidence from Five Mergers on the Enforcement Margin","title-short":"The Effect of Mergers on Consumer Prices","volume":"53","author":[{"family":"Ashenfelter","given":"Orley"},{"family":"Hosken","given":"Daniel"}],"issued":{"date-parts":[["2010",8]]}},"suppress-author":true}],"schema":"https://github.com/citation-style-language/schema/raw/master/csl-citation.json"} </w:instrText>
      </w:r>
      <w:r w:rsidR="00D5015B">
        <w:fldChar w:fldCharType="separate"/>
      </w:r>
      <w:r w:rsidRPr="00D32568">
        <w:rPr>
          <w:rFonts w:ascii="Times New Roman" w:hAnsi="Times New Roman"/>
        </w:rPr>
        <w:t>(2010)</w:t>
      </w:r>
      <w:r w:rsidR="00D5015B">
        <w:fldChar w:fldCharType="end"/>
      </w:r>
      <w:r w:rsidR="00D5015B">
        <w:t xml:space="preserve"> utilizan un enfoque de diferencias-en-diferencias para estimar los incrementos de precios luego de cinco fusiones de firmas de productos de consumo masivo - autorizadas por la autoridad competente en EE.UU. Los autores detectaron incrementos de precios de entre 7 y 10% en cuatro de las cinco fusiones. Para establecer los grupos de control requeridos en la estimación, los autores crean grupos de productos fabricados con ingredientes similares a los vendidos por las firmas que se fusionan, en particular, productos similares, pero con la marca de supermercado, es decir, productos diferenciados. Al utilizar precios de productos que representan un sustituto a los productos de marca involucrados en la fusión, los productos de supermercado podrían incrementar sus precios como respuesta a la fusión, por lo que los autores indican que los efectos de incremento de precios podrían estar subestimados.</w:t>
      </w:r>
    </w:p>
    <w:p w14:paraId="01A4BD6C" w14:textId="4233D10C" w:rsidR="00D5015B" w:rsidRDefault="00D32568" w:rsidP="00D5015B">
      <w:r w:rsidRPr="00355C59">
        <w:rPr>
          <w:rFonts w:ascii="Times New Roman" w:hAnsi="Times New Roman"/>
          <w:szCs w:val="24"/>
        </w:rPr>
        <w:t>Ashenfelter et al.</w:t>
      </w:r>
      <w:r>
        <w:rPr>
          <w:rFonts w:ascii="Times New Roman" w:hAnsi="Times New Roman"/>
          <w:szCs w:val="24"/>
        </w:rPr>
        <w:t xml:space="preserve"> </w:t>
      </w:r>
      <w:r w:rsidR="00D5015B">
        <w:fldChar w:fldCharType="begin"/>
      </w:r>
      <w:r>
        <w:instrText xml:space="preserve"> ADDIN ZOTERO_ITEM CSL_CITATION {"citationID":"4bABBNJB","properties":{"formattedCitation":"(2015)","plainCitation":"(2015)","noteIndex":0},"citationItems":[{"id":992,"uris":["http://zotero.org/users/358961/items/DMKJFVVC"],"uri":["http://zotero.org/users/358961/items/DMKJFVVC"],"itemData":{"id":992,"type":"article-journal","container-title":"The RAND Journal of Economics","DOI":"10.1111/1756-2171.12092","ISSN":"07416261","issue":"2","journalAbbreviation":"The RAND Journal of Economics","language":"en","note":"Citation Key: ashenfelterEfficienciesBrewedPricing2015","page":"328-361","source":"DOI.org (Crossref)","title":"Efficiencies brewed: pricing and consolidation in the US beer industry","title-short":"Efficiencies brewed","volume":"46","author":[{"family":"Ashenfelter","given":"Orley"},{"family":"Hosken","given":"Daniel S."},{"family":"Weinberg","given":"Matthew C."}],"issued":{"date-parts":[["2015",6]]}},"suppress-author":true}],"schema":"https://github.com/citation-style-language/schema/raw/master/csl-citation.json"} </w:instrText>
      </w:r>
      <w:r w:rsidR="00D5015B">
        <w:fldChar w:fldCharType="separate"/>
      </w:r>
      <w:r w:rsidRPr="00D32568">
        <w:rPr>
          <w:rFonts w:ascii="Times New Roman" w:hAnsi="Times New Roman"/>
        </w:rPr>
        <w:t>(2015)</w:t>
      </w:r>
      <w:r w:rsidR="00D5015B">
        <w:fldChar w:fldCharType="end"/>
      </w:r>
      <w:r w:rsidR="00D5015B">
        <w:t xml:space="preserve"> estudió los efectos de la consolidación horizontal en el mercado mayorista de bebidas alcohólicas en </w:t>
      </w:r>
      <w:r>
        <w:t>EE. UU.</w:t>
      </w:r>
      <w:r w:rsidR="00D5015B">
        <w:t xml:space="preserve"> Utiliza datos de panel con las ventas de las firmas para 48 estados y estima el efecto de los cambios de concentración producto de la fusión en el </w:t>
      </w:r>
      <w:r w:rsidR="00D5015B">
        <w:lastRenderedPageBreak/>
        <w:t xml:space="preserve">precio final al consumidor aprovechando la variación en concentración a lo largo de los estados y las distancias de transporte (que se verían reducidas por eficiencias en la fusión). Los autores encontraron un incremento de 2% producto del aumento de la concentración. Con respecto a efectos de spill-over, </w:t>
      </w:r>
      <w:r>
        <w:t>los precios</w:t>
      </w:r>
      <w:r w:rsidR="00D5015B">
        <w:t xml:space="preserve"> de las bebidas de las firmas externas a la fusión también registran un incremento, pero en menor medida y con rezago respecto a las </w:t>
      </w:r>
      <w:r w:rsidR="00D5015B">
        <w:rPr>
          <w:i/>
          <w:iCs/>
        </w:rPr>
        <w:t>insiders</w:t>
      </w:r>
      <w:r w:rsidR="00D5015B">
        <w:t>. Finalmente, los efectos encontrados fueron menores para mercados donde la firma consolidada ya tenía concentración elevada antes de la fusión.</w:t>
      </w:r>
    </w:p>
    <w:p w14:paraId="28038E69" w14:textId="7D6DBC59" w:rsidR="00D5015B" w:rsidRDefault="00D32568" w:rsidP="00D5015B">
      <w:r w:rsidRPr="00355C59">
        <w:rPr>
          <w:rFonts w:ascii="Times New Roman" w:hAnsi="Times New Roman"/>
        </w:rPr>
        <w:t>Miller y Weinberg</w:t>
      </w:r>
      <w:r>
        <w:t xml:space="preserve"> </w:t>
      </w:r>
      <w:r w:rsidR="00D5015B">
        <w:fldChar w:fldCharType="begin"/>
      </w:r>
      <w:r>
        <w:instrText xml:space="preserve"> ADDIN ZOTERO_ITEM CSL_CITATION {"citationID":"yQJwDAoe","properties":{"formattedCitation":"(2017)","plainCitation":"(2017)","noteIndex":0},"citationItems":[{"id":994,"uris":["http://zotero.org/users/358961/items/WBWP3YS2"],"uri":["http://zotero.org/users/358961/items/WBWP3YS2"],"itemData":{"id":994,"type":"article-journal","abstract":"We document abrupt increases in retail beer prices just after the consummation of the MillerCoors joint venture, both for MillerCoors and its major competitor, Anheuser-Busch. Within the context of a differentiated-products pricing model, we test and reject the hypothesis that the price increases can be explained by movement from one Nash–Bertrand equilibrium to another. Counterfactual simulations imply that prices after the joint venture are 6%–8% higher than they would have been with Nash–Bertrand competition, and that markups are 17%–18% higher. We relate the results to documentary evidence that the joint venture may have facilitated price coordination.","container-title":"Econometrica","DOI":"10.3982/ECTA13333","ISSN":"0012-9682","issue":"6","journalAbbreviation":"Econometrica","language":"en","note":"Citation Key: millerUnderstandingPriceEffects2017","page":"1763-1791","source":"DOI.org (Crossref)","title":"Understanding the Price Effects of the MillerCoors Joint Venture","volume":"85","author":[{"family":"Miller","given":"Nathan H."},{"family":"Weinberg","given":"Matthew C."}],"issued":{"date-parts":[["2017"]]}},"suppress-author":true}],"schema":"https://github.com/citation-style-language/schema/raw/master/csl-citation.json"} </w:instrText>
      </w:r>
      <w:r w:rsidR="00D5015B">
        <w:fldChar w:fldCharType="separate"/>
      </w:r>
      <w:r w:rsidRPr="00D32568">
        <w:rPr>
          <w:rFonts w:ascii="Times New Roman" w:hAnsi="Times New Roman"/>
        </w:rPr>
        <w:t>(2017)</w:t>
      </w:r>
      <w:r w:rsidR="00D5015B">
        <w:fldChar w:fldCharType="end"/>
      </w:r>
      <w:r w:rsidR="00D5015B">
        <w:t xml:space="preserve"> analizó años después la misma fusión </w:t>
      </w:r>
      <w:r>
        <w:t xml:space="preserve">en el mercado de cervezas </w:t>
      </w:r>
      <w:r w:rsidR="00D5015B">
        <w:t>mediante un modelo estructural y utilizando datos de las participaciones de las empresas para estimar los patrones de sustitución un modelo de elección discreta con competencia Nash-Bertrand entre las firmas fusionadas y las externas. En este caso, los incrementos de precios de todas las firmas se encuentran entre 6 y 8% con respecto al caso de competencia en precios, por lo que los autores concluyen que es evidencia de patrones de coordinación, facilitadas por una mayor concentración.</w:t>
      </w:r>
    </w:p>
    <w:p w14:paraId="2B7B1223" w14:textId="3D01AD83" w:rsidR="00D5015B" w:rsidRDefault="00D5015B" w:rsidP="00D5015B">
      <w:r>
        <w:t>En el antecedente más directo de la una evaluación de fusiones en el Perú,</w:t>
      </w:r>
      <w:r w:rsidR="00D32568" w:rsidRPr="00D32568">
        <w:rPr>
          <w:rFonts w:ascii="Times New Roman" w:hAnsi="Times New Roman"/>
          <w:szCs w:val="24"/>
        </w:rPr>
        <w:t xml:space="preserve"> </w:t>
      </w:r>
      <w:proofErr w:type="spellStart"/>
      <w:r w:rsidR="00D32568" w:rsidRPr="00355C59">
        <w:rPr>
          <w:rFonts w:ascii="Times New Roman" w:hAnsi="Times New Roman"/>
          <w:szCs w:val="24"/>
        </w:rPr>
        <w:t>Casarin</w:t>
      </w:r>
      <w:proofErr w:type="spellEnd"/>
      <w:r w:rsidR="00D32568" w:rsidRPr="00355C59">
        <w:rPr>
          <w:rFonts w:ascii="Times New Roman" w:hAnsi="Times New Roman"/>
          <w:szCs w:val="24"/>
        </w:rPr>
        <w:t xml:space="preserve"> et al.</w:t>
      </w:r>
      <w:r>
        <w:t xml:space="preserve"> </w:t>
      </w:r>
      <w:r>
        <w:fldChar w:fldCharType="begin"/>
      </w:r>
      <w:r w:rsidR="00D32568">
        <w:instrText xml:space="preserve"> ADDIN ZOTERO_ITEM CSL_CITATION {"citationID":"of5kn3Rg","properties":{"formattedCitation":"(2020)","plainCitation":"(2020)","noteIndex":0},"citationItems":[{"id":1005,"uris":["http://zotero.org/users/358961/items/Q39KRJHZ"],"uri":["http://zotero.org/users/358961/items/Q39KRJHZ"],"itemData":{"id":1005,"type":"article-journal","abstract":"We examine the extent of market power in the brewing market of Perú, where the absence of preventive merger review eased consolidation into a single industrial brewer. We use a standard oligopoly model and exploit both seasonality in demand and atypically large and frequent variations in the structure and level of excise taxes to identify variations in market power. Our results provide evidence of the ineffectiveness of competition policy as uncontested mergers resulted in a degree of market power that decreased only with the entry of new firms.","container-title":"Review of Industrial Organization","DOI":"10.1007/s11151-019-09703-8","ISSN":"0889-938X, 1573-7160","issue":"3","journalAbbreviation":"Rev Ind Organ","language":"en","note":"Citation Key: casarinMarketPowerAbsent2020","page":"535-556","source":"DOI.org (Crossref)","title":"Market Power Absent Merger Review: Brewing in Perú","title-short":"Market Power Absent Merger Review","volume":"56","author":[{"family":"Casarin","given":"Ariel A."},{"family":"Cornejo","given":"Magdalena"},{"family":"Delfino","given":"María Eugenia"}],"issued":{"date-parts":[["2020",5]]}},"suppress-author":true}],"schema":"https://github.com/citation-style-language/schema/raw/master/csl-citation.json"} </w:instrText>
      </w:r>
      <w:r>
        <w:fldChar w:fldCharType="separate"/>
      </w:r>
      <w:r w:rsidR="00D32568" w:rsidRPr="00D32568">
        <w:rPr>
          <w:rFonts w:ascii="Times New Roman" w:hAnsi="Times New Roman"/>
        </w:rPr>
        <w:t>(2020)</w:t>
      </w:r>
      <w:r>
        <w:fldChar w:fldCharType="end"/>
      </w:r>
      <w:r>
        <w:t xml:space="preserve"> estudiaron como la ausencia de un control de fusiones permitió el incremento de poder de mercado de la empresa Backus mediante adquisiciones sucesivas que la llevaron a controlar el 99% del mercado entre los años 2000 y 2005. Con datos de precios, demandas agregadas y cuotas de mercado a nivel país, estiman funciones de demanda agregadas. Determinan que antes del monopolio, y durante el mismo, la conducta se asemeja a un oligopolio de 2-3 firmas simétricas (Backus mantuvo marcas de cervezas distintas), y que con ingreso de </w:t>
      </w:r>
      <w:proofErr w:type="spellStart"/>
      <w:r>
        <w:t>AmBev</w:t>
      </w:r>
      <w:proofErr w:type="spellEnd"/>
      <w:r>
        <w:t xml:space="preserve"> en 2005 se convierte en un oligopolio de 4 firmas.</w:t>
      </w:r>
    </w:p>
    <w:p w14:paraId="2B738C57" w14:textId="388DAA61" w:rsidR="00D5015B" w:rsidRDefault="00D5015B" w:rsidP="00D5015B">
      <w:r>
        <w:t>En la industria de combustibles,</w:t>
      </w:r>
      <w:r w:rsidR="00D32568">
        <w:t xml:space="preserve"> Hastings</w:t>
      </w:r>
      <w:r>
        <w:t xml:space="preserve"> </w:t>
      </w:r>
      <w:r>
        <w:fldChar w:fldCharType="begin"/>
      </w:r>
      <w:r w:rsidR="00D32568">
        <w:instrText xml:space="preserve"> ADDIN ZOTERO_ITEM CSL_CITATION {"citationID":"K7X2RTHk","properties":{"formattedCitation":"(2004)","plainCitation":"(2004)","noteIndex":0},"citationItems":[{"id":685,"uris":["http://zotero.org/groups/2269288/items/R4UZQ3CV"],"uri":["http://zotero.org/groups/2269288/items/R4UZQ3CV"],"itemData":{"id":685,"type":"article-journal","container-title":"The American Economic Review","ISSN":"0002-8282","issue":"1","note":"Citation Key: hastingsVerticalRelationshipsCompetition2004","page":"317-328","source":"JSTOR","title":"Vertical Relationships and Competition in Retail Gasoline Markets: Empirical Evidence from Contract Changes in Southern California","title-short":"Vertical Relationships and Competition in Retail Gasoline Markets","volume":"94","author":[{"family":"Hastings","given":"Justine S."}],"issued":{"date-parts":[["2004"]]}},"suppress-author":true}],"schema":"https://github.com/citation-style-language/schema/raw/master/csl-citation.json"} </w:instrText>
      </w:r>
      <w:r>
        <w:fldChar w:fldCharType="separate"/>
      </w:r>
      <w:r w:rsidR="00D32568" w:rsidRPr="00D32568">
        <w:rPr>
          <w:rFonts w:ascii="Times New Roman" w:hAnsi="Times New Roman"/>
        </w:rPr>
        <w:t>(2004)</w:t>
      </w:r>
      <w:r>
        <w:fldChar w:fldCharType="end"/>
      </w:r>
      <w:r>
        <w:t xml:space="preserve"> evalúa el efecto de la adquisición de un grupo de estaciones independientes (sin marca) por una cadena reconocida. Hastings utiliza una regresión de efectos fijos a nivel estación con dummies de ciudad-tiempo para encontrar que la conversión de estaciones independientes a estaciones de marca aumenta los precios en los mercados afectados en cinco centavos. Este resultado, como los anteriores, muestran que cuando hay lealtad de marca que genera productos diferenciados, la disminución de estaciones independientes reduce la competencia de precios en el mercado, generando mayores precios.</w:t>
      </w:r>
    </w:p>
    <w:p w14:paraId="0ADBA99B" w14:textId="31C74F25" w:rsidR="00D5015B" w:rsidRDefault="00D32568" w:rsidP="00D5015B">
      <w:proofErr w:type="spellStart"/>
      <w:r w:rsidRPr="00355C59">
        <w:rPr>
          <w:rFonts w:ascii="Times New Roman" w:hAnsi="Times New Roman"/>
        </w:rPr>
        <w:lastRenderedPageBreak/>
        <w:t>Chouinard</w:t>
      </w:r>
      <w:proofErr w:type="spellEnd"/>
      <w:r w:rsidRPr="00355C59">
        <w:rPr>
          <w:rFonts w:ascii="Times New Roman" w:hAnsi="Times New Roman"/>
        </w:rPr>
        <w:t xml:space="preserve"> y </w:t>
      </w:r>
      <w:proofErr w:type="spellStart"/>
      <w:r w:rsidRPr="00355C59">
        <w:rPr>
          <w:rFonts w:ascii="Times New Roman" w:hAnsi="Times New Roman"/>
        </w:rPr>
        <w:t>Perloff</w:t>
      </w:r>
      <w:proofErr w:type="spellEnd"/>
      <w:r>
        <w:t xml:space="preserve"> </w:t>
      </w:r>
      <w:r w:rsidR="00D5015B">
        <w:fldChar w:fldCharType="begin"/>
      </w:r>
      <w:r>
        <w:instrText xml:space="preserve"> ADDIN ZOTERO_ITEM CSL_CITATION {"citationID":"SpdXYYMH","properties":{"formattedCitation":"(2007)","plainCitation":"(2007)","noteIndex":0},"citationItems":[{"id":168,"uris":["http://zotero.org/users/358961/items/BVJYC9AY"],"uri":["http://zotero.org/users/358961/items/BVJYC9AY"],"itemData":{"id":168,"type":"article-journal","abstract":"Retail and wholesale gasoline prices vary over time and across geographic locations due to differences in government policies and other factors that affect demand, costs, and market power. We use a two-equation, reduced-form model to determine the relative importance of these various factors using panel data for 48 states over nine years. We ﬁnd that the variation in the price of crude oil has been virtually the only major factor contributing to gasoline price variations during the 1990s. Tax variations and mergers contribute substantially more to geographic price differentials than do price discrimination, cost factors, or pollution controls.","container-title":"The B.E. Journal of Economic Analysis &amp; Policy","DOI":"10.2202/1935-1682.1599","ISSN":"1935-1682","issue":"1","language":"en","note":"Citation Key: chouinardGasolinePriceDifferences2007","source":"DOI.org (Crossref)","title":"Gasoline Price Differences: Taxes, Pollution Regulations, Mergers, Market Power, and Market Conditions","title-short":"Gasoline Price Differences","URL":"https://www.degruyter.com/document/doi/10.2202/1935-1682.1599/html","volume":"7","author":[{"family":"Chouinard","given":"Hayley H"},{"family":"Perloff","given":"Jeffrey M"}],"accessed":{"date-parts":[["2021",3,9]]},"issued":{"date-parts":[["2007",1,25]]}},"suppress-author":true}],"schema":"https://github.com/citation-style-language/schema/raw/master/csl-citation.json"} </w:instrText>
      </w:r>
      <w:r w:rsidR="00D5015B">
        <w:fldChar w:fldCharType="separate"/>
      </w:r>
      <w:r w:rsidRPr="00D32568">
        <w:rPr>
          <w:rFonts w:ascii="Times New Roman" w:hAnsi="Times New Roman"/>
        </w:rPr>
        <w:t>(2007)</w:t>
      </w:r>
      <w:r w:rsidR="00D5015B">
        <w:fldChar w:fldCharType="end"/>
      </w:r>
      <w:r>
        <w:t xml:space="preserve"> aplicaron</w:t>
      </w:r>
      <w:r w:rsidR="00D5015B">
        <w:t xml:space="preserve"> un modelo de efectos fijos con los datos de precios </w:t>
      </w:r>
      <w:r>
        <w:t>EE. UU</w:t>
      </w:r>
      <w:r w:rsidR="00D5015B">
        <w:t xml:space="preserve"> continental a nivel de estados y con frecuencia mensual, para cuantificar los factores que afectan el precio final de los combustibles líquidos y estudiar sus variaciones geográficas y en el tiempo. Encontraron que las fusiones de minoristas generaron un diferencial de hasta 14 centavos entre estados donde no hubo fusiones, en tanto que las fusiones de refinerías causaron un diferencial máximo de 10.5 centavos. Sin embargo, también encontraron estados donde las fusiones condujeron no generaron incrementos de precios.</w:t>
      </w:r>
    </w:p>
    <w:p w14:paraId="28065FC9" w14:textId="2CE71664" w:rsidR="00D5015B" w:rsidRDefault="00D5015B" w:rsidP="00D5015B">
      <w:r>
        <w:t>En la región,</w:t>
      </w:r>
      <w:r w:rsidR="00D32568">
        <w:t xml:space="preserve"> Coloma</w:t>
      </w:r>
      <w:r>
        <w:t xml:space="preserve"> </w:t>
      </w:r>
      <w:r>
        <w:fldChar w:fldCharType="begin"/>
      </w:r>
      <w:r w:rsidR="00D32568">
        <w:instrText xml:space="preserve"> ADDIN ZOTERO_ITEM CSL_CITATION {"citationID":"n3cqt58U","properties":{"formattedCitation":"(2002)","plainCitation":"(2002)","noteIndex":0},"citationItems":[{"id":166,"uris":["http://zotero.org/users/358961/items/J5AF5PL2"],"uri":["http://zotero.org/users/358961/items/J5AF5PL2"],"itemData":{"id":166,"type":"article-journal","abstract":"This paper presents alternative models of oligopoly behavior for the Argentine gasoline market and applies parametric estimations to analyze the effect that the Repsol-YPF merger had on that market. Using monthly data for the different provinces of Argentina during 1998–2000, we make an evaluation of that effect. After performing a series of nested and non-nested hypothesis tests, we conclude that we cannot reject the hypothesis that the market was a Cournot oligopoly before the merger, and after that it became one with a price leader (Repsol-YPF). This implies an efﬁciency loss estimated in more than $36 million per month.","container-title":"Review of Industrial Organization","language":"en","note":"Citation Key: colomaEffectRepsolYPFMerger","page":"399-418","source":"Zotero","title":"The Effect of the Repsol-YPF Merger on the Argentine Gasoline Market","volume":"21","author":[{"family":"Coloma","given":"Germán"}],"issued":{"date-parts":[["2002"]]}},"suppress-author":true}],"schema":"https://github.com/citation-style-language/schema/raw/master/csl-citation.json"} </w:instrText>
      </w:r>
      <w:r>
        <w:fldChar w:fldCharType="separate"/>
      </w:r>
      <w:r w:rsidR="00D32568" w:rsidRPr="00D32568">
        <w:rPr>
          <w:rFonts w:ascii="Times New Roman" w:hAnsi="Times New Roman"/>
        </w:rPr>
        <w:t>(2002)</w:t>
      </w:r>
      <w:r>
        <w:fldChar w:fldCharType="end"/>
      </w:r>
      <w:r>
        <w:t xml:space="preserve"> </w:t>
      </w:r>
      <w:r w:rsidR="00D32568">
        <w:t>estudió</w:t>
      </w:r>
      <w:r>
        <w:t xml:space="preserve"> el efecto de la privatización de la empresa YPF en Argentina, adquirida por Repsol, que permitió la integración vertical entre la refinación y venta minorista. Para ello, utiliza datos a nivel provincial con frecuencia mensual, utilizando las cantidades y precios. Con esta información, </w:t>
      </w:r>
      <w:r w:rsidR="00D32568">
        <w:t>realizó</w:t>
      </w:r>
      <w:r>
        <w:t xml:space="preserve"> la estimación de modelos agregados de oferta y demanda utilizando el método de IV, y con el precio de crudo WTI como principal instrumento. Coloma detecta que antes de la fusión, la competencia entre los refinadores (integrados verticalmente con sus estaciones minoristas) seguía un oligopolio Cournot, en tanto que luego de la fusión encuentran que un modelo de liderazgo de precios por Repsol-YPF explica mejor los datos.</w:t>
      </w:r>
    </w:p>
    <w:p w14:paraId="17957442" w14:textId="39FD55EF" w:rsidR="00D5015B" w:rsidRDefault="00D32568" w:rsidP="00D5015B">
      <w:r>
        <w:t xml:space="preserve">Lagos </w:t>
      </w:r>
      <w:r w:rsidR="00D5015B">
        <w:fldChar w:fldCharType="begin"/>
      </w:r>
      <w:r>
        <w:instrText xml:space="preserve"> ADDIN ZOTERO_ITEM CSL_CITATION {"citationID":"M0lAiJ2K","properties":{"formattedCitation":"(2018)","plainCitation":"(2018)","noteIndex":0},"citationItems":[{"id":996,"uris":["http://zotero.org/users/358961/items/I5EE7AAH"],"uri":["http://zotero.org/users/358961/items/I5EE7AAH"],"itemData":{"id":996,"type":"article-journal","container-title":"The Journal of Industrial Economics","DOI":"10.1111/joie.12188","ISSN":"0022-1821, 1467-6451","issue":"4","journalAbbreviation":"J Ind Econ","language":"en","note":"Citation Key: lagosEffectivenessMergerRemedies2018","page":"942-979","source":"DOI.org (Crossref)","title":"Effectiveness of Merger Remedies: Evidence from the Retail Gasoline Industry","title-short":"Effectiveness of Merger Remedies","volume":"66","author":[{"family":"Lagos","given":"Vicente"}],"issued":{"date-parts":[["2018",12]]}},"suppress-author":true}],"schema":"https://github.com/citation-style-language/schema/raw/master/csl-citation.json"} </w:instrText>
      </w:r>
      <w:r w:rsidR="00D5015B">
        <w:fldChar w:fldCharType="separate"/>
      </w:r>
      <w:r w:rsidRPr="00D32568">
        <w:rPr>
          <w:rFonts w:ascii="Times New Roman" w:hAnsi="Times New Roman"/>
        </w:rPr>
        <w:t>(2018)</w:t>
      </w:r>
      <w:r w:rsidR="00D5015B">
        <w:fldChar w:fldCharType="end"/>
      </w:r>
      <w:r w:rsidR="00D5015B">
        <w:t xml:space="preserve"> estudió la eficacia de las medidas de desinversión muchas asociadas a la autorización para que se dé lugar a una fusión. Utilizando el caso de la fusión entre el segundo y cuarto más grandes minoristas de Chile, evalúa el efecto en los precios y las medidas impuestas por el Tribunal de Defensa de la Libre Competencia, que implicaban la desinversión en estaciones específicas en mercados concentrados. Utilizando datos a nivel semanal, estimó un modelo de diferencias en diferencias encontrando efectos pequeños pero significativos en el incremento de los márgenes. Además, la medida de desinversión de estaciones fue efectiva solo para mercados con baja densidad de estaciones, encontrando que este es un mejor indicador del efecto anticompetitivo de la fusión y de la efectividad de la medida de desinversión.</w:t>
      </w:r>
    </w:p>
    <w:p w14:paraId="5B99B5B8" w14:textId="761FBF2B" w:rsidR="00D5015B" w:rsidRDefault="00D5015B" w:rsidP="00D5015B">
      <w:r>
        <w:t>Finalmente, producto de los debates entorno a la aplicación de una ley de control previo de fusiones en el Perú,</w:t>
      </w:r>
      <w:r w:rsidR="00D32568">
        <w:t xml:space="preserve"> Rodríguez </w:t>
      </w:r>
      <w:r w:rsidR="00D32568">
        <w:rPr>
          <w:i/>
          <w:iCs/>
        </w:rPr>
        <w:t>et al.</w:t>
      </w:r>
      <w:r>
        <w:t xml:space="preserve"> </w:t>
      </w:r>
      <w:r>
        <w:fldChar w:fldCharType="begin"/>
      </w:r>
      <w:r w:rsidR="00D32568">
        <w:instrText xml:space="preserve"> ADDIN ZOTERO_ITEM CSL_CITATION {"citationID":"0TwL7m4D","properties":{"formattedCitation":"(2018)","plainCitation":"(2018)","noteIndex":0},"citationItems":[{"id":1002,"uris":["http://zotero.org/users/358961/items/58AHXU5E"],"uri":["http://zotero.org/users/358961/items/58AHXU5E"],"itemData":{"id":1002,"type":"report","event-place":"Lima","genre":"Documento de Trabajo","note":"Citation Key: rodriguezAnalisisImplicanciasLey2018","number":"43","publisher":"Oficina de Estudios Económicos. Osinergmin","publisher-place":"Lima","title":"Análisis de las implicancias de una Ley de Control  Previo en el mercado de hidrocarburos líquidos  peruano a lo largo de la cadena productiva","URL":"https://www.osinergmin.gob.pe/seccion/centro_documental/Institucional/Estudios_Economicos/Documentos_de_Trabajo/Documento-Trabajo-43.pdf","author":[{"family":"Rodríguez","given":"Abel"},{"family":"Rivas","given":"Juan"},{"family":"Carrillo","given":"Alexander"}],"accessed":{"date-parts":[["2021",5,3]]},"issued":{"date-parts":[["2018",12]]}},"suppress-author":true}],"schema":"https://github.com/citation-style-language/schema/raw/master/csl-citation.json"} </w:instrText>
      </w:r>
      <w:r>
        <w:fldChar w:fldCharType="separate"/>
      </w:r>
      <w:r w:rsidR="00D32568" w:rsidRPr="00D32568">
        <w:rPr>
          <w:rFonts w:ascii="Times New Roman" w:hAnsi="Times New Roman"/>
        </w:rPr>
        <w:t>(2018)</w:t>
      </w:r>
      <w:r>
        <w:fldChar w:fldCharType="end"/>
      </w:r>
      <w:r>
        <w:t xml:space="preserve"> analizaron de manera descriptiva los efectos que tendrían una ley de control previo de fusiones en el sector hidrocarburos. Para ello, establecen como criterio para someter a un procedimiento de autorización previa de fusión a aquellas empresas que al fusionarse posean un porcentaje igual o mayor al 15% del mercado, para el caso de concentración horizontal. </w:t>
      </w:r>
      <w:r w:rsidR="00D32568">
        <w:t>De acuerdo con</w:t>
      </w:r>
      <w:r>
        <w:t xml:space="preserve"> las cuotas mercado, indican que las fusiones de </w:t>
      </w:r>
      <w:r>
        <w:lastRenderedPageBreak/>
        <w:t>Petroperú con cualquier otra cadena, o de la misma forma Primax o Repsol, pasarían por un control previo, no siendo este control necesario para fusiones de Pecsa.</w:t>
      </w:r>
    </w:p>
    <w:p w14:paraId="32DD3CB5" w14:textId="4E65BECD" w:rsidR="00D5015B" w:rsidRDefault="00D5015B" w:rsidP="00D5015B">
      <w:r>
        <w:t xml:space="preserve">En el ámbito cuantitativo y para el mercado de combustibles peruanos, el antecedente más cercano a este estudio es el trabajo de </w:t>
      </w:r>
      <w:r w:rsidR="00627F5E" w:rsidRPr="00074369">
        <w:t xml:space="preserve">Aurazo y Rojas </w:t>
      </w:r>
      <w:r w:rsidR="00627F5E" w:rsidRPr="00074369">
        <w:fldChar w:fldCharType="begin"/>
      </w:r>
      <w:r w:rsidR="00562BE8">
        <w:instrText xml:space="preserve"> ADDIN ZOTERO_ITEM CSL_CITATION {"citationID":"gZrczUjq","properties":{"formattedCitation":"(2018)","plainCitation":"(2018)","noteIndex":0},"citationItems":[{"id":663,"uris":["http://zotero.org/groups/2269288/items/GWDSQSPP"],"uri":["http://zotero.org/groups/2269288/items/GWDSQSPP"],"itemData":{"id":663,"type":"thesis","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investigación","note":"Dissertation/Thesis\nCitation Key: aurazoiglesiasModeloCompetenciaEspacial2018","publisher":"Perú","title":"Modelo de competencia espacial: una aplicación al mercado retail del GNV en el Perú","author":[{"family":"Aurazo Iglesias","given":"José Gregorio"},{"family":"Rojas Milla","given":"Pedro César"}],"issued":{"date-parts":[["2018"]]}},"suppress-author":true}],"schema":"https://github.com/citation-style-language/schema/raw/master/csl-citation.json"} </w:instrText>
      </w:r>
      <w:r w:rsidR="00627F5E" w:rsidRPr="00074369">
        <w:fldChar w:fldCharType="separate"/>
      </w:r>
      <w:r w:rsidR="00627F5E" w:rsidRPr="00627F5E">
        <w:rPr>
          <w:rFonts w:ascii="Times New Roman" w:hAnsi="Times New Roman"/>
        </w:rPr>
        <w:t>(2018)</w:t>
      </w:r>
      <w:r w:rsidR="00627F5E" w:rsidRPr="00074369">
        <w:fldChar w:fldCharType="end"/>
      </w:r>
      <w:r w:rsidR="00627F5E">
        <w:t xml:space="preserve"> </w:t>
      </w:r>
      <w:r>
        <w:t>que estudia los patrones de competencia para las estaciones de Gas Natural Vehicular en Lima. Mediante modelos de competencia espacial, y con datos de ventas mensuales y cuotas de mercado a nivel distrital, realizaron una estimación estructural con el método de momentos. Encontraron que 35 de 61 estaciones de GNV se comportan como monopolios locales, y dos mercados presentarían comportamiento colusorio.</w:t>
      </w:r>
    </w:p>
    <w:bookmarkEnd w:id="16"/>
    <w:p w14:paraId="32427C3B" w14:textId="07BFC293" w:rsidR="00A92DA7" w:rsidRPr="00074369" w:rsidRDefault="00A92DA7">
      <w:pPr>
        <w:spacing w:after="200" w:line="276" w:lineRule="auto"/>
        <w:jc w:val="left"/>
        <w:rPr>
          <w:sz w:val="18"/>
          <w:szCs w:val="18"/>
        </w:rPr>
      </w:pPr>
      <w:r w:rsidRPr="00074369">
        <w:rPr>
          <w:sz w:val="18"/>
          <w:szCs w:val="18"/>
        </w:rPr>
        <w:br w:type="page"/>
      </w:r>
    </w:p>
    <w:p w14:paraId="252669A7" w14:textId="4D065649" w:rsidR="00E72124" w:rsidRDefault="00E72124" w:rsidP="002C12C7">
      <w:pPr>
        <w:pStyle w:val="Ttulo1"/>
      </w:pPr>
      <w:bookmarkStart w:id="17" w:name="_Toc11178405"/>
      <w:r>
        <w:lastRenderedPageBreak/>
        <w:t>Marco analítico</w:t>
      </w:r>
    </w:p>
    <w:p w14:paraId="26554B22" w14:textId="2BD05BAE" w:rsidR="00E72124" w:rsidRDefault="00E72124" w:rsidP="00E72124">
      <w:bookmarkStart w:id="18" w:name="tesismarco-analítico"/>
      <w:r>
        <w:t xml:space="preserve">Esta investigación busca encontrar los efectos en el precio al consumidor de una </w:t>
      </w:r>
      <w:r w:rsidR="00C074D4">
        <w:t>integración horizontal</w:t>
      </w:r>
      <w:r>
        <w:t xml:space="preserve"> en el mercado </w:t>
      </w:r>
      <w:r w:rsidR="00C074D4">
        <w:t xml:space="preserve">minorista </w:t>
      </w:r>
      <w:r>
        <w:t>de combustibles líquidos. Mi hipótesis es que una reducción en la competencia mediante la capacidad de coordinación entre las firmas fusionadas generará mayores precios de los combustibles</w:t>
      </w:r>
      <w:r w:rsidR="00C074D4">
        <w:t xml:space="preserve"> en sus estaciones</w:t>
      </w:r>
      <w:r>
        <w:t xml:space="preserve">, y que </w:t>
      </w:r>
      <w:r w:rsidR="00C074D4">
        <w:t>este efecto</w:t>
      </w:r>
      <w:r>
        <w:t xml:space="preserve"> se transmitirá</w:t>
      </w:r>
      <w:r w:rsidR="00C074D4">
        <w:t>, en el corto y mediano plazo, a</w:t>
      </w:r>
      <w:r>
        <w:t xml:space="preserve"> las estaciones que </w:t>
      </w:r>
      <w:r w:rsidR="00C074D4">
        <w:t xml:space="preserve">compitan </w:t>
      </w:r>
      <w:r w:rsidR="00562BE8">
        <w:t>directamente con ellas</w:t>
      </w:r>
      <w:r w:rsidR="00C074D4">
        <w:t>.</w:t>
      </w:r>
      <w:r w:rsidR="00562BE8">
        <w:t xml:space="preserve"> </w:t>
      </w:r>
    </w:p>
    <w:p w14:paraId="1CE26442" w14:textId="2507D863" w:rsidR="00E72124" w:rsidRDefault="00E72124" w:rsidP="00E72124">
      <w:r>
        <w:t xml:space="preserve">Como se ha visto </w:t>
      </w:r>
      <w:r w:rsidR="00562BE8">
        <w:t>el capítulo anterior</w:t>
      </w:r>
      <w:r>
        <w:t>, no siempre una fusión genera beneficios para las firmas que se unen. Sin embargo, bajo ciertas condiciones que justificaré son cercanas a la realidad del mercado de combustibles líquidos, sí se puede encontrar que las fusiones incrementan los precios.</w:t>
      </w:r>
      <w:r w:rsidR="008745FE">
        <w:t xml:space="preserve"> </w:t>
      </w:r>
      <w:r w:rsidR="00562BE8">
        <w:t xml:space="preserve">A continuación, presentaré el </w:t>
      </w:r>
      <w:r>
        <w:t>modelo teórico sobre el que se sostiene la hipótesis planteada</w:t>
      </w:r>
      <w:r w:rsidR="00562BE8">
        <w:t>. E</w:t>
      </w:r>
      <w:r>
        <w:t>s una aplicación del clásico modelo de la ciudad circular Salop, bajo un contexto de competencia de precios a la Bertrand.</w:t>
      </w:r>
      <w:r w:rsidR="00562BE8">
        <w:t xml:space="preserve"> Este modelo ha sido tomado de Levy y Reitzes </w:t>
      </w:r>
      <w:r w:rsidR="00562BE8">
        <w:fldChar w:fldCharType="begin"/>
      </w:r>
      <w:r w:rsidR="00562BE8">
        <w:instrText xml:space="preserve"> ADDIN ZOTERO_ITEM CSL_CITATION {"citationID":"MtW3MKYA","properties":{"formattedCitation":"(1992)","plainCitation":"(1992)","noteIndex":0},"citationItems":[{"id":947,"uris":["http://zotero.org/users/358961/items/YMSUFXW6"],"uri":["http://zotero.org/users/358961/items/YMSUFXW6"],"itemData":{"id":947,"type":"article-journal","container-title":"The Journal of Law, Economics, and Organization","DOI":"10.1093/oxfordjournals.jleo.a037047","ISSN":"1465-7341","language":"en","note":"Citation Key: AnticompetitiveEffectsMergers1992","source":"DOI.org (Crossref)","title":"Anticompetitive Effects of Mergers in Markets with Localized Competition","URL":"https://academic.oup.com/jleo/article/8/2/427/819687/Anticompetitive-Effects-of-Mergers-in-Markets-with","volume":"427","author":[{"family":"Levy","given":"David"},{"family":"Reitzes","given":"James"}],"accessed":{"date-parts":[["2021",3,31]]},"issued":{"date-parts":[["1992",4]]}},"suppress-author":true}],"schema":"https://github.com/citation-style-language/schema/raw/master/csl-citation.json"} </w:instrText>
      </w:r>
      <w:r w:rsidR="00562BE8">
        <w:fldChar w:fldCharType="separate"/>
      </w:r>
      <w:r w:rsidR="00562BE8" w:rsidRPr="00562BE8">
        <w:rPr>
          <w:rFonts w:ascii="Times New Roman" w:hAnsi="Times New Roman"/>
        </w:rPr>
        <w:t>(1992)</w:t>
      </w:r>
      <w:r w:rsidR="00562BE8">
        <w:fldChar w:fldCharType="end"/>
      </w:r>
      <w:r w:rsidR="008745FE">
        <w:t>.</w:t>
      </w:r>
    </w:p>
    <w:p w14:paraId="3A6891C7" w14:textId="2F61017E" w:rsidR="00E72124" w:rsidRDefault="008745FE" w:rsidP="008745FE">
      <w:pPr>
        <w:pStyle w:val="Ttulo2"/>
      </w:pPr>
      <w:bookmarkStart w:id="19" w:name="setting"/>
      <w:r>
        <w:t>Supuestos y equilibrio en competencia</w:t>
      </w:r>
      <w:r w:rsidR="00125D76">
        <w:t xml:space="preserve"> Bertrand-Nash</w:t>
      </w:r>
    </w:p>
    <w:p w14:paraId="58AD5E13" w14:textId="19F7D433" w:rsidR="00E72124" w:rsidRDefault="00E72124" w:rsidP="00E72124">
      <w:r>
        <w:t xml:space="preserve">Dada la naturaleza espacial del mercado minorista de combustibles líquidos, tomamos como marco de referencia del </w:t>
      </w:r>
      <w:r w:rsidRPr="008745FE">
        <w:t>modelo de ciudad circular de Salop</w:t>
      </w:r>
      <w:r w:rsidR="008745FE">
        <w:t xml:space="preserve"> </w:t>
      </w:r>
      <w:r w:rsidR="008745FE">
        <w:fldChar w:fldCharType="begin"/>
      </w:r>
      <w:r w:rsidR="008745FE">
        <w:instrText xml:space="preserve"> ADDIN ZOTERO_ITEM CSL_CITATION {"citationID":"19hRUa52","properties":{"formattedCitation":"(1979)","plainCitation":"(1979)","noteIndex":0},"citationItems":[{"id":1008,"uris":["http://zotero.org/users/358961/items/PW62P52M"],"uri":["http://zotero.org/users/358961/items/PW62P52M"],"itemData":{"id":1008,"type":"article-journal","abstract":"The Chamberlinian monopolistically competitive equilibrium has been explored and extended in a number of recent papers. These analyses have paid only cursory attention to the existence of an industry outside the Chamberlinian group. In this article I analyze a model of spatial competition in which a second commodity is explicitly treated. In this two-industry economy, a zero-profit equilibrium with symmetrically located firms may exhibit rather strange properties. First, demand curves are kinked, although firms make \"Nash\" conjectures. If equilibrium lies at the kink, the effects of parameter changes are perverse. In the short run, prices are rigid in the face of small cost changes. In the long run, increases in costs lower equilibrium prices. Increases in market size raise prices. The welfare properties are also perverse at a kinked equilibrium.","container-title":"The Bell Journal of Economics","DOI":"10.2307/3003323","ISSN":"0361-915X","issue":"1","note":"publisher: [RAND Corporation, Wiley]\nCitation Key: salopMonopolisticCompetitionOutside1979","page":"141-156","source":"JSTOR","title":"Monopolistic Competition with Outside Goods","volume":"10","author":[{"family":"Salop","given":"Steven C."}],"issued":{"date-parts":[["1979"]]}},"suppress-author":true}],"schema":"https://github.com/citation-style-language/schema/raw/master/csl-citation.json"} </w:instrText>
      </w:r>
      <w:r w:rsidR="008745FE">
        <w:fldChar w:fldCharType="separate"/>
      </w:r>
      <w:r w:rsidR="008745FE" w:rsidRPr="008745FE">
        <w:rPr>
          <w:rFonts w:ascii="Times New Roman" w:hAnsi="Times New Roman"/>
        </w:rPr>
        <w:t>(1979)</w:t>
      </w:r>
      <w:r w:rsidR="008745FE">
        <w:fldChar w:fldCharType="end"/>
      </w:r>
      <w:r>
        <w:t>, para ilustrar las consecuencias de la fusión de firmas cercanas en los precios</w:t>
      </w:r>
      <w:r w:rsidR="008745FE">
        <w:t xml:space="preserve"> de todas las firmas del mercado.</w:t>
      </w:r>
    </w:p>
    <w:p w14:paraId="0942EF5B" w14:textId="7F17484C" w:rsidR="00E72124" w:rsidRDefault="008745FE" w:rsidP="00E72124">
      <w:r>
        <w:t>Se considera que existen N firmas</w:t>
      </w:r>
      <w:r w:rsidR="001F1E13">
        <w:t xml:space="preserve"> que producen el mismo bien y están</w:t>
      </w:r>
      <w:r>
        <w:t xml:space="preserve"> localizadas en una circunferencia de </w:t>
      </w:r>
      <w:r w:rsidR="006A0B6A">
        <w:t>perímetro</w:t>
      </w:r>
      <w:r>
        <w:rPr>
          <w:lang w:val="es-ES"/>
        </w:rPr>
        <w:t xml:space="preserve"> igual a 1, y distancias entre sí por 1/N.</w:t>
      </w:r>
      <w:r>
        <w:t xml:space="preserve"> </w:t>
      </w:r>
      <w:r>
        <w:rPr>
          <w:lang w:val="es-ES"/>
        </w:rPr>
        <w:t xml:space="preserve">Los consumidores están distribuidos uniformemente a lo largo de la circunferencia. </w:t>
      </w:r>
      <w:r>
        <w:t xml:space="preserve"> </w:t>
      </w:r>
      <w:r>
        <w:t>T</w:t>
      </w:r>
      <w:r w:rsidR="00E72124">
        <w:t xml:space="preserve">ienen demanda inelástica por el bien, y reciben una utilidad marginal de </w:t>
      </w:r>
      <m:oMath>
        <m:r>
          <w:rPr>
            <w:rFonts w:ascii="Cambria Math" w:hAnsi="Cambria Math"/>
          </w:rPr>
          <m:t>α</m:t>
        </m:r>
      </m:oMath>
      <w:r w:rsidR="00E72124">
        <w:t xml:space="preserve"> por la compra </w:t>
      </w:r>
      <w:r w:rsidR="006A0B6A">
        <w:t>de este</w:t>
      </w:r>
      <w:r w:rsidR="00E72124">
        <w:t>. Un consumidor compra de la firma que le ofrezca el bien al menor valor total</w:t>
      </w:r>
      <w:r w:rsidR="006A0B6A">
        <w:t xml:space="preserve">: </w:t>
      </w:r>
      <m:oMath>
        <m:sSup>
          <m:sSupPr>
            <m:ctrlPr>
              <w:rPr>
                <w:rFonts w:ascii="Cambria Math" w:hAnsi="Cambria Math"/>
              </w:rPr>
            </m:ctrlPr>
          </m:sSupPr>
          <m:e>
            <m:r>
              <w:rPr>
                <w:rFonts w:ascii="Cambria Math" w:hAnsi="Cambria Math"/>
              </w:rPr>
              <m:t>p</m:t>
            </m:r>
            <m:ctrlPr>
              <w:rPr>
                <w:rFonts w:ascii="Cambria Math" w:hAnsi="Cambria Math"/>
                <w:i/>
              </w:rPr>
            </m:ctrlPr>
          </m:e>
          <m:sup>
            <m:r>
              <w:rPr>
                <w:rFonts w:ascii="Cambria Math" w:hAnsi="Cambria Math"/>
              </w:rPr>
              <m:t>i</m:t>
            </m:r>
          </m:sup>
        </m:sSup>
        <m:r>
          <m:rPr>
            <m:sty m:val="p"/>
          </m:rPr>
          <w:rPr>
            <w:rFonts w:ascii="Cambria Math" w:hAnsi="Cambria Math"/>
          </w:rPr>
          <m:t>+</m:t>
        </m:r>
        <m:r>
          <w:rPr>
            <w:rFonts w:ascii="Cambria Math" w:hAnsi="Cambria Math"/>
          </w:rPr>
          <m:t>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d>
                  <m:dPr>
                    <m:ctrlPr>
                      <w:rPr>
                        <w:rFonts w:ascii="Cambria Math" w:hAnsi="Cambria Math"/>
                      </w:rPr>
                    </m:ctrlPr>
                  </m:dPr>
                  <m:e>
                    <m:r>
                      <w:rPr>
                        <w:rFonts w:ascii="Cambria Math" w:hAnsi="Cambria Math"/>
                      </w:rPr>
                      <m:t>w</m:t>
                    </m:r>
                  </m:e>
                </m:d>
              </m:e>
            </m:d>
            <m:ctrlPr>
              <w:rPr>
                <w:rFonts w:ascii="Cambria Math" w:hAnsi="Cambria Math"/>
                <w:i/>
              </w:rPr>
            </m:ctrlPr>
          </m:e>
          <m:sup>
            <m:r>
              <w:rPr>
                <w:rFonts w:ascii="Cambria Math" w:hAnsi="Cambria Math"/>
              </w:rPr>
              <m:t>2</m:t>
            </m:r>
          </m:sup>
        </m:sSup>
      </m:oMath>
      <w:r w:rsidR="00F256B3">
        <w:t xml:space="preserve"> donde </w:t>
      </w:r>
      <m:oMath>
        <m:sSup>
          <m:sSupPr>
            <m:ctrlPr>
              <w:rPr>
                <w:rFonts w:ascii="Cambria Math" w:hAnsi="Cambria Math"/>
                <w:i/>
              </w:rPr>
            </m:ctrlPr>
          </m:sSupPr>
          <m:e>
            <m:r>
              <w:rPr>
                <w:rFonts w:ascii="Cambria Math" w:hAnsi="Cambria Math"/>
              </w:rPr>
              <m:t>p</m:t>
            </m:r>
          </m:e>
          <m:sup>
            <m:r>
              <w:rPr>
                <w:rFonts w:ascii="Cambria Math" w:hAnsi="Cambria Math"/>
              </w:rPr>
              <m:t>i</m:t>
            </m:r>
          </m:sup>
        </m:sSup>
      </m:oMath>
      <w:r w:rsidR="00F256B3">
        <w:t xml:space="preserve"> es el precio del bien diferenciado</w:t>
      </w:r>
      <w:r w:rsidR="001F1E13">
        <w:t xml:space="preserve"> de la firma </w:t>
      </w:r>
      <m:oMath>
        <m:r>
          <w:rPr>
            <w:rFonts w:ascii="Cambria Math" w:hAnsi="Cambria Math"/>
          </w:rPr>
          <m:t xml:space="preserve">i </m:t>
        </m:r>
      </m:oMath>
      <w:r w:rsidR="00F256B3">
        <w:t xml:space="preserve">, </w:t>
      </w:r>
      <m:oMath>
        <m:r>
          <w:rPr>
            <w:rFonts w:ascii="Cambria Math" w:hAnsi="Cambria Math"/>
          </w:rPr>
          <m:t>t</m:t>
        </m:r>
      </m:oMath>
      <w:r w:rsidR="001F1E13">
        <w:t xml:space="preserve"> es el costo unitario de trasladarse por el perímetro del círculo, y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(w)</m:t>
        </m:r>
      </m:oMath>
      <w:r w:rsidR="001F1E13">
        <w:t xml:space="preserve"> es la distancia de la firma </w:t>
      </w:r>
      <m:oMath>
        <m:r>
          <w:rPr>
            <w:rFonts w:ascii="Cambria Math" w:hAnsi="Cambria Math"/>
          </w:rPr>
          <m:t xml:space="preserve">i </m:t>
        </m:r>
      </m:oMath>
      <w:r w:rsidR="001F1E13">
        <w:t xml:space="preserve">al consumidor </w:t>
      </w:r>
      <m:oMath>
        <m:r>
          <w:rPr>
            <w:rFonts w:ascii="Cambria Math" w:hAnsi="Cambria Math"/>
          </w:rPr>
          <m:t>w</m:t>
        </m:r>
      </m:oMath>
      <w:r w:rsidR="001F1E13">
        <w:t>. La distancia entre la firma y el consumidor puede representar distancia física, o puede ser una medida implícita del costo para el consumidor de comprar un producto que se aleje de su “ideal”.</w:t>
      </w:r>
    </w:p>
    <w:p w14:paraId="16E9300D" w14:textId="030A533E" w:rsidR="001F1E13" w:rsidRDefault="001F1E13" w:rsidP="001F1E13">
      <w:pPr>
        <w:pStyle w:val="Descripcin"/>
      </w:pPr>
      <w:r w:rsidRPr="001F1E13">
        <w:lastRenderedPageBreak/>
        <w:t>Gráfico</w:t>
      </w:r>
      <w:r>
        <w:t xml:space="preserve"> </w:t>
      </w:r>
      <w:r>
        <w:fldChar w:fldCharType="begin"/>
      </w:r>
      <w:r>
        <w:instrText xml:space="preserve"> SEQ Gráfico \* ARABIC </w:instrText>
      </w:r>
      <w:r>
        <w:fldChar w:fldCharType="separate"/>
      </w:r>
      <w:r>
        <w:rPr>
          <w:noProof/>
        </w:rPr>
        <w:t>1</w:t>
      </w:r>
      <w:r>
        <w:fldChar w:fldCharType="end"/>
      </w:r>
      <w:r>
        <w:t xml:space="preserve">. </w:t>
      </w:r>
      <w:r w:rsidR="00EB62C3">
        <w:t xml:space="preserve">Modelo de la ciudad circular de Salop mostrando al consumidor </w:t>
      </w:r>
      <m:oMath>
        <m:sSup>
          <m:sSupPr>
            <m:ctrlPr>
              <w:rPr>
                <w:rFonts w:ascii="Cambria Math" w:hAnsi="Cambria Math"/>
                <w:i/>
              </w:rPr>
            </m:ctrlPr>
          </m:sSupPr>
          <m:e>
            <m:r>
              <m:rPr>
                <m:sty m:val="bi"/>
              </m:rPr>
              <w:rPr>
                <w:rFonts w:ascii="Cambria Math" w:hAnsi="Cambria Math"/>
              </w:rPr>
              <m:t>w</m:t>
            </m:r>
          </m:e>
          <m:sup>
            <m:r>
              <m:rPr>
                <m:sty m:val="bi"/>
              </m:rPr>
              <w:rPr>
                <w:rFonts w:ascii="Cambria Math" w:hAnsi="Cambria Math"/>
              </w:rPr>
              <m:t>*</m:t>
            </m:r>
          </m:sup>
        </m:sSup>
      </m:oMath>
      <w:r w:rsidR="00EB62C3">
        <w:t xml:space="preserve"> indiferente entre B y C</w:t>
      </w:r>
    </w:p>
    <w:p w14:paraId="67E536A5" w14:textId="69AA26B9" w:rsidR="00E72124" w:rsidRDefault="001F1E13" w:rsidP="00EB62C3">
      <w:pPr>
        <w:spacing w:after="120"/>
        <w:jc w:val="left"/>
        <w:rPr>
          <w:lang w:val="en-US"/>
        </w:rPr>
      </w:pPr>
      <w:r>
        <w:rPr>
          <w:noProof/>
        </w:rPr>
        <w:drawing>
          <wp:inline distT="0" distB="0" distL="0" distR="0" wp14:anchorId="726C6A05" wp14:editId="3EF4F67A">
            <wp:extent cx="2358943" cy="241773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234" cy="2422131"/>
                    </a:xfrm>
                    <a:prstGeom prst="rect">
                      <a:avLst/>
                    </a:prstGeom>
                  </pic:spPr>
                </pic:pic>
              </a:graphicData>
            </a:graphic>
          </wp:inline>
        </w:drawing>
      </w:r>
    </w:p>
    <w:p w14:paraId="3F9C7354" w14:textId="1D92A019" w:rsidR="00EB62C3" w:rsidRPr="00EB62C3" w:rsidRDefault="00EB62C3" w:rsidP="001F1E13">
      <w:pPr>
        <w:jc w:val="left"/>
        <w:rPr>
          <w:sz w:val="18"/>
          <w:szCs w:val="18"/>
        </w:rPr>
      </w:pPr>
      <w:r w:rsidRPr="00EB62C3">
        <w:rPr>
          <w:sz w:val="18"/>
          <w:szCs w:val="18"/>
        </w:rPr>
        <w:t>Fuente: Elaboración Propia</w:t>
      </w:r>
    </w:p>
    <w:p w14:paraId="664FC1BA" w14:textId="4615F8D9" w:rsidR="00E72124" w:rsidRDefault="00E72124" w:rsidP="00E72124">
      <w:bookmarkStart w:id="20" w:name="modelo-de-competencia-en-precios"/>
      <w:bookmarkEnd w:id="19"/>
      <w:r w:rsidRPr="00EB62C3">
        <w:t xml:space="preserve">Partiendo del punto en el que el consumidor es indiferente entre comprar en </w:t>
      </w:r>
      <m:oMath>
        <m:r>
          <w:rPr>
            <w:rFonts w:ascii="Cambria Math" w:hAnsi="Cambria Math"/>
          </w:rPr>
          <m:t>i</m:t>
        </m:r>
      </m:oMath>
      <w:r w:rsidRPr="00EB62C3">
        <w:t xml:space="preserve"> y su vecino, se </w:t>
      </w:r>
      <w:r w:rsidR="00EB62C3">
        <w:t xml:space="preserve">determina el mercado para la firma </w:t>
      </w:r>
      <m:oMath>
        <m:r>
          <w:rPr>
            <w:rFonts w:ascii="Cambria Math" w:hAnsi="Cambria Math"/>
          </w:rPr>
          <m:t>i</m:t>
        </m:r>
      </m:oMath>
      <w:r w:rsidR="00EB62C3">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802"/>
        <w:gridCol w:w="850"/>
      </w:tblGrid>
      <w:tr w:rsidR="005839E0" w14:paraId="285E84AD" w14:textId="77777777" w:rsidTr="000A0983">
        <w:tc>
          <w:tcPr>
            <w:tcW w:w="500" w:type="pct"/>
          </w:tcPr>
          <w:p w14:paraId="3D22742B" w14:textId="77777777" w:rsidR="005839E0" w:rsidRDefault="005839E0" w:rsidP="000A0983">
            <w:pPr>
              <w:spacing w:after="240"/>
            </w:pPr>
          </w:p>
        </w:tc>
        <w:tc>
          <w:tcPr>
            <w:tcW w:w="4000" w:type="pct"/>
            <w:vAlign w:val="center"/>
          </w:tcPr>
          <w:p w14:paraId="6DCF6305" w14:textId="5346D2DC" w:rsidR="005839E0" w:rsidRDefault="000A0983" w:rsidP="000A0983">
            <w:pPr>
              <w:spacing w:after="120"/>
              <w:jc w:val="center"/>
            </w:pPr>
            <m:oMathPara>
              <m:oMath>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i</m:t>
                    </m:r>
                    <m:r>
                      <m:rPr>
                        <m:sty m:val="p"/>
                      </m:rPr>
                      <w:rPr>
                        <w:rFonts w:ascii="Cambria Math" w:hAnsi="Cambria Math"/>
                      </w:rPr>
                      <m:t>+</m:t>
                    </m:r>
                  </m:sup>
                </m:sSup>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hAnsi="Cambria Math"/>
                              </w:rPr>
                              <m:t>i</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d>
                  </m:num>
                  <m:den>
                    <m:d>
                      <m:dPr>
                        <m:ctrlPr>
                          <w:rPr>
                            <w:rFonts w:ascii="Cambria Math" w:hAnsi="Cambria Math"/>
                            <w:i/>
                          </w:rPr>
                        </m:ctrlPr>
                      </m:dPr>
                      <m:e>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N</m:t>
                            </m:r>
                          </m:den>
                        </m:f>
                      </m:e>
                    </m:d>
                  </m:den>
                </m:f>
                <m:r>
                  <m:rPr>
                    <m:sty m:val="p"/>
                  </m:rPr>
                  <w:rPr>
                    <w:rFonts w:ascii="Cambria Math" w:hAnsi="Cambria Math"/>
                  </w:rPr>
                  <m:t xml:space="preserve"> </m:t>
                </m:r>
              </m:oMath>
            </m:oMathPara>
          </w:p>
        </w:tc>
        <w:tc>
          <w:tcPr>
            <w:tcW w:w="500" w:type="pct"/>
            <w:vAlign w:val="center"/>
          </w:tcPr>
          <w:p w14:paraId="4816A902" w14:textId="3E4A9DDE" w:rsidR="005839E0" w:rsidRPr="005839E0" w:rsidRDefault="005839E0" w:rsidP="000A0983">
            <w:pPr>
              <w:pStyle w:val="Descripcin"/>
              <w:spacing w:before="0"/>
              <w:jc w:val="right"/>
              <w:rPr>
                <w:b w:val="0"/>
                <w:bCs/>
              </w:rPr>
            </w:pPr>
            <w:bookmarkStart w:id="21" w:name="_Ref71092815"/>
            <w:bookmarkStart w:id="22" w:name="_Ref71092821"/>
            <w:r w:rsidRPr="005839E0">
              <w:rPr>
                <w:b w:val="0"/>
                <w:bCs/>
              </w:rPr>
              <w:t>(</w:t>
            </w:r>
            <w:r w:rsidRPr="005839E0">
              <w:rPr>
                <w:b w:val="0"/>
                <w:bCs/>
              </w:rPr>
              <w:fldChar w:fldCharType="begin"/>
            </w:r>
            <w:r w:rsidRPr="005839E0">
              <w:rPr>
                <w:b w:val="0"/>
                <w:bCs/>
              </w:rPr>
              <w:instrText xml:space="preserve"> SEQ Ecuación \* ARABIC </w:instrText>
            </w:r>
            <w:r w:rsidRPr="005839E0">
              <w:rPr>
                <w:b w:val="0"/>
                <w:bCs/>
              </w:rPr>
              <w:fldChar w:fldCharType="separate"/>
            </w:r>
            <w:r w:rsidRPr="005839E0">
              <w:rPr>
                <w:b w:val="0"/>
                <w:bCs/>
                <w:noProof/>
              </w:rPr>
              <w:t>1</w:t>
            </w:r>
            <w:r w:rsidRPr="005839E0">
              <w:rPr>
                <w:b w:val="0"/>
                <w:bCs/>
              </w:rPr>
              <w:fldChar w:fldCharType="end"/>
            </w:r>
            <w:bookmarkEnd w:id="22"/>
            <w:r w:rsidRPr="005839E0">
              <w:rPr>
                <w:b w:val="0"/>
                <w:bCs/>
              </w:rPr>
              <w:t>)</w:t>
            </w:r>
            <w:bookmarkEnd w:id="21"/>
          </w:p>
        </w:tc>
      </w:tr>
      <w:tr w:rsidR="000A0983" w14:paraId="13D28AB5" w14:textId="77777777" w:rsidTr="000A0983">
        <w:tc>
          <w:tcPr>
            <w:tcW w:w="500" w:type="pct"/>
          </w:tcPr>
          <w:p w14:paraId="716C62B0" w14:textId="77777777" w:rsidR="000A0983" w:rsidRDefault="000A0983" w:rsidP="000A0983"/>
        </w:tc>
        <w:tc>
          <w:tcPr>
            <w:tcW w:w="4000" w:type="pct"/>
            <w:vAlign w:val="center"/>
          </w:tcPr>
          <w:p w14:paraId="6612E323" w14:textId="3C78267D" w:rsidR="000A0983" w:rsidRDefault="000A0983" w:rsidP="000A0983">
            <w:pPr>
              <w:spacing w:before="120"/>
              <w:jc w:val="center"/>
            </w:pPr>
            <m:oMathPara>
              <m:oMath>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i</m:t>
                    </m:r>
                    <m:r>
                      <m:rPr>
                        <m:sty m:val="p"/>
                      </m:rPr>
                      <w:rPr>
                        <w:rFonts w:ascii="Cambria Math" w:hAnsi="Cambria Math"/>
                      </w:rPr>
                      <m:t>-</m:t>
                    </m:r>
                  </m:sup>
                </m:sSup>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hAnsi="Cambria Math"/>
                              </w:rPr>
                              <m:t>i</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d>
                  </m:num>
                  <m:den>
                    <m:d>
                      <m:dPr>
                        <m:ctrlPr>
                          <w:rPr>
                            <w:rFonts w:ascii="Cambria Math" w:hAnsi="Cambria Math"/>
                            <w:i/>
                          </w:rPr>
                        </m:ctrlPr>
                      </m:dPr>
                      <m:e>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N</m:t>
                            </m:r>
                          </m:den>
                        </m:f>
                      </m:e>
                    </m:d>
                  </m:den>
                </m:f>
              </m:oMath>
            </m:oMathPara>
          </w:p>
        </w:tc>
        <w:tc>
          <w:tcPr>
            <w:tcW w:w="500" w:type="pct"/>
            <w:vAlign w:val="center"/>
          </w:tcPr>
          <w:p w14:paraId="7DA09073" w14:textId="6DC0C187" w:rsidR="000A0983" w:rsidRPr="005839E0" w:rsidRDefault="000A0983" w:rsidP="000A0983">
            <w:pPr>
              <w:pStyle w:val="Descripcin"/>
              <w:spacing w:before="120" w:after="480"/>
              <w:jc w:val="right"/>
              <w:rPr>
                <w:b w:val="0"/>
                <w:bCs/>
              </w:rPr>
            </w:pPr>
            <w:bookmarkStart w:id="23" w:name="_Ref71092827"/>
            <w:r w:rsidRPr="005839E0">
              <w:rPr>
                <w:b w:val="0"/>
                <w:bCs/>
              </w:rPr>
              <w:t>(</w:t>
            </w:r>
            <w:r w:rsidRPr="005839E0">
              <w:rPr>
                <w:b w:val="0"/>
                <w:bCs/>
              </w:rPr>
              <w:fldChar w:fldCharType="begin"/>
            </w:r>
            <w:r w:rsidRPr="005839E0">
              <w:rPr>
                <w:b w:val="0"/>
                <w:bCs/>
              </w:rPr>
              <w:instrText xml:space="preserve"> SEQ Ecuación \* ARABIC </w:instrText>
            </w:r>
            <w:r w:rsidRPr="005839E0">
              <w:rPr>
                <w:b w:val="0"/>
                <w:bCs/>
              </w:rPr>
              <w:fldChar w:fldCharType="separate"/>
            </w:r>
            <w:r>
              <w:rPr>
                <w:b w:val="0"/>
                <w:bCs/>
                <w:noProof/>
              </w:rPr>
              <w:t>2</w:t>
            </w:r>
            <w:r w:rsidRPr="005839E0">
              <w:rPr>
                <w:b w:val="0"/>
                <w:bCs/>
              </w:rPr>
              <w:fldChar w:fldCharType="end"/>
            </w:r>
            <w:r w:rsidRPr="005839E0">
              <w:rPr>
                <w:b w:val="0"/>
                <w:bCs/>
              </w:rPr>
              <w:t>)</w:t>
            </w:r>
            <w:bookmarkEnd w:id="23"/>
          </w:p>
        </w:tc>
      </w:tr>
    </w:tbl>
    <w:p w14:paraId="70DD0BF8" w14:textId="435E1EE2" w:rsidR="00E72124" w:rsidRDefault="00E72124" w:rsidP="00E72124">
      <w:r>
        <w:t xml:space="preserve">Asumiendo costos marginales constantes iguales a </w:t>
      </w:r>
      <m:oMath>
        <m:r>
          <w:rPr>
            <w:rFonts w:ascii="Cambria Math" w:hAnsi="Cambria Math"/>
          </w:rPr>
          <m:t>c</m:t>
        </m:r>
      </m:oMath>
      <w:r>
        <w:t xml:space="preserve"> y costos fijos </w:t>
      </w:r>
      <m:oMath>
        <m:r>
          <w:rPr>
            <w:rFonts w:ascii="Cambria Math" w:hAnsi="Cambria Math"/>
          </w:rPr>
          <m:t>f</m:t>
        </m:r>
      </m:oMath>
      <w:r>
        <w:t xml:space="preserve">, los beneficios de la firma </w:t>
      </w:r>
      <m:oMath>
        <m:r>
          <w:rPr>
            <w:rFonts w:ascii="Cambria Math" w:hAnsi="Cambria Math"/>
          </w:rPr>
          <m:t>i</m:t>
        </m:r>
      </m:oMath>
      <w:r>
        <w:t xml:space="preserve"> son:</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802"/>
        <w:gridCol w:w="850"/>
      </w:tblGrid>
      <w:tr w:rsidR="000A0983" w14:paraId="6CD0058F" w14:textId="77777777" w:rsidTr="000A0983">
        <w:tc>
          <w:tcPr>
            <w:tcW w:w="500" w:type="pct"/>
          </w:tcPr>
          <w:p w14:paraId="45FEA90F" w14:textId="77777777" w:rsidR="000A0983" w:rsidRDefault="000A0983" w:rsidP="00A11C3B"/>
        </w:tc>
        <w:tc>
          <w:tcPr>
            <w:tcW w:w="4000" w:type="pct"/>
            <w:vAlign w:val="center"/>
          </w:tcPr>
          <w:p w14:paraId="55A8718D" w14:textId="78C2AAFB" w:rsidR="000A0983" w:rsidRDefault="000A0983" w:rsidP="00A11C3B">
            <w:pPr>
              <w:jc w:val="center"/>
            </w:pPr>
            <m:oMathPara>
              <m:oMath>
                <m:sSup>
                  <m:sSupPr>
                    <m:ctrlPr>
                      <w:rPr>
                        <w:rFonts w:ascii="Cambria Math" w:hAnsi="Cambria Math"/>
                      </w:rPr>
                    </m:ctrlPr>
                  </m:sSupPr>
                  <m:e>
                    <m:r>
                      <w:rPr>
                        <w:rFonts w:ascii="Cambria Math" w:hAnsi="Cambria Math"/>
                      </w:rPr>
                      <m:t>π</m:t>
                    </m:r>
                    <m:ctrlPr>
                      <w:rPr>
                        <w:rFonts w:ascii="Cambria Math" w:hAnsi="Cambria Math"/>
                        <w:i/>
                      </w:rPr>
                    </m:ctrlP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i</m:t>
                    </m:r>
                  </m:sup>
                </m:sSup>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r>
                          <m:rPr>
                            <m:sty m:val="p"/>
                          </m:rPr>
                          <w:rPr>
                            <w:rFonts w:ascii="Cambria Math" w:hAnsi="Cambria Math"/>
                          </w:rPr>
                          <m:t>-</m:t>
                        </m:r>
                      </m:sup>
                    </m:sSup>
                  </m:e>
                </m:d>
                <m:r>
                  <m:rPr>
                    <m:sty m:val="p"/>
                  </m:rPr>
                  <w:rPr>
                    <w:rFonts w:ascii="Cambria Math" w:hAnsi="Cambria Math"/>
                  </w:rPr>
                  <m:t>-</m:t>
                </m:r>
                <m:r>
                  <w:rPr>
                    <w:rFonts w:ascii="Cambria Math" w:hAnsi="Cambria Math"/>
                  </w:rPr>
                  <m:t>f</m:t>
                </m:r>
              </m:oMath>
            </m:oMathPara>
          </w:p>
        </w:tc>
        <w:tc>
          <w:tcPr>
            <w:tcW w:w="500" w:type="pct"/>
            <w:vAlign w:val="center"/>
          </w:tcPr>
          <w:p w14:paraId="3A19048A" w14:textId="75944EAC" w:rsidR="000A0983" w:rsidRPr="005839E0" w:rsidRDefault="00A11C3B" w:rsidP="00A11C3B">
            <w:pPr>
              <w:pStyle w:val="Descripcin"/>
              <w:spacing w:before="0" w:after="480"/>
              <w:jc w:val="right"/>
              <w:rPr>
                <w:b w:val="0"/>
                <w:bCs/>
              </w:rPr>
            </w:pPr>
            <w:r w:rsidRPr="005839E0">
              <w:rPr>
                <w:b w:val="0"/>
                <w:bCs/>
              </w:rPr>
              <w:t>(</w:t>
            </w:r>
            <w:r w:rsidR="000A0983" w:rsidRPr="005839E0">
              <w:rPr>
                <w:b w:val="0"/>
                <w:bCs/>
              </w:rPr>
              <w:fldChar w:fldCharType="begin"/>
            </w:r>
            <w:r w:rsidR="000A0983" w:rsidRPr="005839E0">
              <w:rPr>
                <w:b w:val="0"/>
                <w:bCs/>
              </w:rPr>
              <w:instrText xml:space="preserve"> SEQ Ecuación \* ARABIC </w:instrText>
            </w:r>
            <w:r w:rsidR="000A0983" w:rsidRPr="005839E0">
              <w:rPr>
                <w:b w:val="0"/>
                <w:bCs/>
              </w:rPr>
              <w:fldChar w:fldCharType="separate"/>
            </w:r>
            <w:r>
              <w:rPr>
                <w:b w:val="0"/>
                <w:bCs/>
                <w:noProof/>
              </w:rPr>
              <w:t>3</w:t>
            </w:r>
            <w:r w:rsidR="000A0983" w:rsidRPr="005839E0">
              <w:rPr>
                <w:b w:val="0"/>
                <w:bCs/>
              </w:rPr>
              <w:fldChar w:fldCharType="end"/>
            </w:r>
            <w:r w:rsidRPr="005839E0">
              <w:rPr>
                <w:b w:val="0"/>
                <w:bCs/>
              </w:rPr>
              <w:t>)</w:t>
            </w:r>
          </w:p>
        </w:tc>
      </w:tr>
    </w:tbl>
    <w:p w14:paraId="6E3508A7" w14:textId="5D6DAB70" w:rsidR="00E72124" w:rsidRDefault="000A0983" w:rsidP="00E72124">
      <w:r>
        <w:t xml:space="preserve">Sustituyendo </w:t>
      </w:r>
      <w:r w:rsidRPr="000A0983">
        <w:fldChar w:fldCharType="begin"/>
      </w:r>
      <w:r w:rsidRPr="000A0983">
        <w:instrText xml:space="preserve"> REF _Ref71092815 \h </w:instrText>
      </w:r>
      <w:r w:rsidRPr="000A0983">
        <w:instrText xml:space="preserve"> \* MERGEFORMAT </w:instrText>
      </w:r>
      <w:r w:rsidRPr="000A0983">
        <w:fldChar w:fldCharType="separate"/>
      </w:r>
      <w:r w:rsidRPr="000A0983">
        <w:t>(</w:t>
      </w:r>
      <w:r w:rsidRPr="000A0983">
        <w:rPr>
          <w:noProof/>
        </w:rPr>
        <w:t>1</w:t>
      </w:r>
      <w:r w:rsidRPr="000A0983">
        <w:t>)</w:t>
      </w:r>
      <w:r w:rsidRPr="000A0983">
        <w:fldChar w:fldCharType="end"/>
      </w:r>
      <w:r w:rsidRPr="000A0983">
        <w:t xml:space="preserve"> y </w:t>
      </w:r>
      <w:r w:rsidRPr="000A0983">
        <w:fldChar w:fldCharType="begin"/>
      </w:r>
      <w:r w:rsidRPr="000A0983">
        <w:instrText xml:space="preserve"> REF _Ref71092827 \h </w:instrText>
      </w:r>
      <w:r w:rsidRPr="000A0983">
        <w:instrText xml:space="preserve"> \* MERGEFORMAT </w:instrText>
      </w:r>
      <w:r w:rsidRPr="000A0983">
        <w:fldChar w:fldCharType="separate"/>
      </w:r>
      <w:r w:rsidRPr="000A0983">
        <w:t>(</w:t>
      </w:r>
      <w:r w:rsidRPr="000A0983">
        <w:rPr>
          <w:noProof/>
        </w:rPr>
        <w:t>2</w:t>
      </w:r>
      <w:r w:rsidRPr="000A0983">
        <w:t>)</w:t>
      </w:r>
      <w:r w:rsidRPr="000A0983">
        <w:fldChar w:fldCharType="end"/>
      </w:r>
      <w:r>
        <w:t xml:space="preserve"> y m</w:t>
      </w:r>
      <w:r w:rsidR="005839E0">
        <w:t>aximizando con respecto al precio</w:t>
      </w:r>
      <w:r w:rsidR="00E72124">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802"/>
        <w:gridCol w:w="850"/>
      </w:tblGrid>
      <w:tr w:rsidR="00A11C3B" w14:paraId="29D4CB89" w14:textId="77777777" w:rsidTr="003B2340">
        <w:tc>
          <w:tcPr>
            <w:tcW w:w="500" w:type="pct"/>
          </w:tcPr>
          <w:p w14:paraId="4211AC4D" w14:textId="77777777" w:rsidR="00A11C3B" w:rsidRDefault="00A11C3B" w:rsidP="003B2340"/>
        </w:tc>
        <w:tc>
          <w:tcPr>
            <w:tcW w:w="4000" w:type="pct"/>
            <w:vAlign w:val="center"/>
          </w:tcPr>
          <w:p w14:paraId="3B0BE50F" w14:textId="688FD118" w:rsidR="00A11C3B" w:rsidRDefault="00A11C3B" w:rsidP="003B2340">
            <w:pPr>
              <w:jc w:val="center"/>
            </w:pPr>
            <m:oMathPara>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i+1</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i-1</m:t>
                        </m:r>
                      </m:sup>
                    </m:sSup>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c + 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r>
                  <m:rPr>
                    <m:sty m:val="p"/>
                  </m:rPr>
                  <w:rPr>
                    <w:rFonts w:ascii="Cambria Math" w:hAnsi="Cambria Math"/>
                  </w:rPr>
                  <m:t xml:space="preserve"> </m:t>
                </m:r>
              </m:oMath>
            </m:oMathPara>
          </w:p>
        </w:tc>
        <w:tc>
          <w:tcPr>
            <w:tcW w:w="500" w:type="pct"/>
            <w:vAlign w:val="center"/>
          </w:tcPr>
          <w:p w14:paraId="525F372E" w14:textId="7F15011C" w:rsidR="00A11C3B" w:rsidRPr="005839E0" w:rsidRDefault="00A11C3B" w:rsidP="003B2340">
            <w:pPr>
              <w:pStyle w:val="Descripcin"/>
              <w:spacing w:before="0" w:after="480"/>
              <w:jc w:val="right"/>
              <w:rPr>
                <w:b w:val="0"/>
                <w:bCs/>
              </w:rPr>
            </w:pPr>
            <w:r w:rsidRPr="005839E0">
              <w:rPr>
                <w:b w:val="0"/>
                <w:bCs/>
              </w:rPr>
              <w:t>(</w:t>
            </w:r>
            <w:r w:rsidRPr="005839E0">
              <w:rPr>
                <w:b w:val="0"/>
                <w:bCs/>
              </w:rPr>
              <w:fldChar w:fldCharType="begin"/>
            </w:r>
            <w:r w:rsidRPr="005839E0">
              <w:rPr>
                <w:b w:val="0"/>
                <w:bCs/>
              </w:rPr>
              <w:instrText xml:space="preserve"> SEQ Ecuación \* ARABIC </w:instrText>
            </w:r>
            <w:r w:rsidRPr="005839E0">
              <w:rPr>
                <w:b w:val="0"/>
                <w:bCs/>
              </w:rPr>
              <w:fldChar w:fldCharType="separate"/>
            </w:r>
            <w:r>
              <w:rPr>
                <w:b w:val="0"/>
                <w:bCs/>
                <w:noProof/>
              </w:rPr>
              <w:t>4</w:t>
            </w:r>
            <w:r w:rsidRPr="005839E0">
              <w:rPr>
                <w:b w:val="0"/>
                <w:bCs/>
              </w:rPr>
              <w:fldChar w:fldCharType="end"/>
            </w:r>
            <w:r w:rsidRPr="005839E0">
              <w:rPr>
                <w:b w:val="0"/>
                <w:bCs/>
              </w:rPr>
              <w:t>)</w:t>
            </w:r>
          </w:p>
        </w:tc>
      </w:tr>
    </w:tbl>
    <w:p w14:paraId="5356C007" w14:textId="67CDA5D7" w:rsidR="00A11C3B" w:rsidRDefault="007A3ADB" w:rsidP="00E72124">
      <w:r>
        <w:lastRenderedPageBreak/>
        <w:t>Por tanto, el equilibrio Bertrand-Nash antes de cualquier fusión, para firmas simétricas se obtiene: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802"/>
        <w:gridCol w:w="850"/>
      </w:tblGrid>
      <w:tr w:rsidR="00A11C3B" w14:paraId="4AB9A2B5" w14:textId="77777777" w:rsidTr="003B2340">
        <w:tc>
          <w:tcPr>
            <w:tcW w:w="500" w:type="pct"/>
          </w:tcPr>
          <w:p w14:paraId="66E72765" w14:textId="77777777" w:rsidR="00A11C3B" w:rsidRDefault="00A11C3B" w:rsidP="003B2340"/>
        </w:tc>
        <w:tc>
          <w:tcPr>
            <w:tcW w:w="4000" w:type="pct"/>
            <w:vAlign w:val="center"/>
          </w:tcPr>
          <w:p w14:paraId="4CDF2E59" w14:textId="6251DBC4" w:rsidR="00A11C3B" w:rsidRDefault="007A3ADB" w:rsidP="007A3ADB">
            <m:oMathPara>
              <m:oMath>
                <m:sSup>
                  <m:sSupPr>
                    <m:ctrlPr>
                      <w:rPr>
                        <w:rFonts w:ascii="Cambria Math" w:hAnsi="Cambria Math"/>
                      </w:rPr>
                    </m:ctrlPr>
                  </m:sSupPr>
                  <m:e>
                    <m:r>
                      <w:rPr>
                        <w:rFonts w:ascii="Cambria Math" w:hAnsi="Cambria Math"/>
                      </w:rPr>
                      <m:t>p</m:t>
                    </m:r>
                    <m:ctrlPr>
                      <w:rPr>
                        <w:rFonts w:ascii="Cambria Math" w:hAnsi="Cambria Math"/>
                        <w:i/>
                      </w:rPr>
                    </m:ctrlPr>
                  </m:e>
                  <m:sup>
                    <m:r>
                      <m:rPr>
                        <m:sty m:val="p"/>
                      </m:rPr>
                      <w:rPr>
                        <w:rFonts w:ascii="Cambria Math" w:hAnsi="Cambria Math"/>
                      </w:rPr>
                      <m:t>*</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Z</m:t>
                </m:r>
              </m:oMath>
            </m:oMathPara>
          </w:p>
        </w:tc>
        <w:tc>
          <w:tcPr>
            <w:tcW w:w="500" w:type="pct"/>
            <w:vAlign w:val="center"/>
          </w:tcPr>
          <w:p w14:paraId="2901F250" w14:textId="27C4B2A9" w:rsidR="00A11C3B" w:rsidRPr="005839E0" w:rsidRDefault="00A11C3B" w:rsidP="003B2340">
            <w:pPr>
              <w:pStyle w:val="Descripcin"/>
              <w:spacing w:before="0" w:after="480"/>
              <w:jc w:val="right"/>
              <w:rPr>
                <w:b w:val="0"/>
                <w:bCs/>
              </w:rPr>
            </w:pPr>
            <w:r w:rsidRPr="005839E0">
              <w:rPr>
                <w:b w:val="0"/>
                <w:bCs/>
              </w:rPr>
              <w:t>(</w:t>
            </w:r>
            <w:r w:rsidRPr="005839E0">
              <w:rPr>
                <w:b w:val="0"/>
                <w:bCs/>
              </w:rPr>
              <w:fldChar w:fldCharType="begin"/>
            </w:r>
            <w:r w:rsidRPr="005839E0">
              <w:rPr>
                <w:b w:val="0"/>
                <w:bCs/>
              </w:rPr>
              <w:instrText xml:space="preserve"> SEQ Ecuación \* ARABIC </w:instrText>
            </w:r>
            <w:r w:rsidRPr="005839E0">
              <w:rPr>
                <w:b w:val="0"/>
                <w:bCs/>
              </w:rPr>
              <w:fldChar w:fldCharType="separate"/>
            </w:r>
            <w:r>
              <w:rPr>
                <w:b w:val="0"/>
                <w:bCs/>
                <w:noProof/>
              </w:rPr>
              <w:t>5</w:t>
            </w:r>
            <w:r w:rsidRPr="005839E0">
              <w:rPr>
                <w:b w:val="0"/>
                <w:bCs/>
              </w:rPr>
              <w:fldChar w:fldCharType="end"/>
            </w:r>
            <w:r w:rsidRPr="005839E0">
              <w:rPr>
                <w:b w:val="0"/>
                <w:bCs/>
              </w:rPr>
              <w:t>)</w:t>
            </w:r>
          </w:p>
        </w:tc>
      </w:tr>
      <w:tr w:rsidR="007A3ADB" w14:paraId="42F63D4A" w14:textId="77777777" w:rsidTr="003B2340">
        <w:tc>
          <w:tcPr>
            <w:tcW w:w="500" w:type="pct"/>
          </w:tcPr>
          <w:p w14:paraId="4EFD2CAC" w14:textId="77777777" w:rsidR="007A3ADB" w:rsidRDefault="007A3ADB" w:rsidP="003B2340"/>
        </w:tc>
        <w:tc>
          <w:tcPr>
            <w:tcW w:w="4000" w:type="pct"/>
            <w:vAlign w:val="center"/>
          </w:tcPr>
          <w:p w14:paraId="61A793EE" w14:textId="232877FE" w:rsidR="007A3ADB" w:rsidRDefault="007A3ADB" w:rsidP="003B2340">
            <w:pPr>
              <w:jc w:val="center"/>
            </w:pPr>
            <m:oMathPara>
              <m:oMath>
                <m:sSup>
                  <m:sSupPr>
                    <m:ctrlPr>
                      <w:rPr>
                        <w:rFonts w:ascii="Cambria Math" w:hAnsi="Cambria Math"/>
                      </w:rPr>
                    </m:ctrlPr>
                  </m:sSupPr>
                  <m:e>
                    <m:r>
                      <w:rPr>
                        <w:rFonts w:ascii="Cambria Math" w:hAnsi="Cambria Math"/>
                      </w:rPr>
                      <m:t>π</m:t>
                    </m:r>
                    <m:ctrlPr>
                      <w:rPr>
                        <w:rFonts w:ascii="Cambria Math" w:hAnsi="Cambria Math"/>
                        <w:i/>
                      </w:rPr>
                    </m:ctrlPr>
                  </m:e>
                  <m:sup>
                    <m: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r>
                  <w:rPr>
                    <w:rFonts w:ascii="Cambria Math" w:hAnsi="Cambria Math"/>
                  </w:rPr>
                  <m:t>f</m:t>
                </m:r>
              </m:oMath>
            </m:oMathPara>
          </w:p>
        </w:tc>
        <w:tc>
          <w:tcPr>
            <w:tcW w:w="500" w:type="pct"/>
            <w:vAlign w:val="center"/>
          </w:tcPr>
          <w:p w14:paraId="74E2FC4E" w14:textId="698BFB41" w:rsidR="007A3ADB" w:rsidRPr="005839E0" w:rsidRDefault="007A3ADB" w:rsidP="003B2340">
            <w:pPr>
              <w:pStyle w:val="Descripcin"/>
              <w:spacing w:before="0" w:after="480"/>
              <w:jc w:val="right"/>
              <w:rPr>
                <w:b w:val="0"/>
                <w:bCs/>
              </w:rPr>
            </w:pPr>
            <w:r w:rsidRPr="005839E0">
              <w:rPr>
                <w:b w:val="0"/>
                <w:bCs/>
              </w:rPr>
              <w:t>(</w:t>
            </w:r>
            <w:r w:rsidRPr="005839E0">
              <w:rPr>
                <w:b w:val="0"/>
                <w:bCs/>
              </w:rPr>
              <w:fldChar w:fldCharType="begin"/>
            </w:r>
            <w:r w:rsidRPr="005839E0">
              <w:rPr>
                <w:b w:val="0"/>
                <w:bCs/>
              </w:rPr>
              <w:instrText xml:space="preserve"> SEQ Ecuación \* ARABIC </w:instrText>
            </w:r>
            <w:r w:rsidRPr="005839E0">
              <w:rPr>
                <w:b w:val="0"/>
                <w:bCs/>
              </w:rPr>
              <w:fldChar w:fldCharType="separate"/>
            </w:r>
            <w:r>
              <w:rPr>
                <w:b w:val="0"/>
                <w:bCs/>
                <w:noProof/>
              </w:rPr>
              <w:t>6</w:t>
            </w:r>
            <w:r w:rsidRPr="005839E0">
              <w:rPr>
                <w:b w:val="0"/>
                <w:bCs/>
              </w:rPr>
              <w:fldChar w:fldCharType="end"/>
            </w:r>
            <w:r w:rsidRPr="005839E0">
              <w:rPr>
                <w:b w:val="0"/>
                <w:bCs/>
              </w:rPr>
              <w:t>)</w:t>
            </w:r>
          </w:p>
        </w:tc>
      </w:tr>
    </w:tbl>
    <w:p w14:paraId="414B8B55" w14:textId="02A7537A" w:rsidR="00E72124" w:rsidRDefault="00125D76" w:rsidP="00125D76">
      <w:pPr>
        <w:pStyle w:val="Ttulo2"/>
      </w:pPr>
      <w:bookmarkStart w:id="24" w:name="modelo-de-competencia-en-precios-1"/>
      <w:bookmarkEnd w:id="20"/>
      <w:r>
        <w:t>Fusión firmas en un equilibrio Bertrand-Nash</w:t>
      </w:r>
    </w:p>
    <w:p w14:paraId="4E78346C" w14:textId="13A85322" w:rsidR="00E72124" w:rsidRDefault="00E72124" w:rsidP="00E72124">
      <w:bookmarkStart w:id="25" w:name="fusión-de-firmas-vecinas"/>
      <w:bookmarkEnd w:id="24"/>
      <w:r>
        <w:t>Se asumen que no hay ganancias de eficiencias, que ambas locaciones siguen vendiendo, costos marginales se mantienen iguales a</w:t>
      </w:r>
      <w:r w:rsidR="00125D76">
        <w:t xml:space="preserve"> </w:t>
      </w:r>
      <m:oMath>
        <m:r>
          <w:rPr>
            <w:rFonts w:ascii="Cambria Math" w:hAnsi="Cambria Math"/>
          </w:rPr>
          <m:t>c</m:t>
        </m:r>
      </m:oMath>
      <w:r w:rsidR="00125D76">
        <w:t xml:space="preserve"> </w:t>
      </w:r>
      <w:r>
        <w:t xml:space="preserve">y </w:t>
      </w:r>
      <w:r w:rsidR="00D45443">
        <w:t>costos fijos</w:t>
      </w:r>
      <w:r w:rsidR="00125D76">
        <w:t xml:space="preserve"> </w:t>
      </w:r>
      <m:oMath>
        <m:r>
          <w:rPr>
            <w:rFonts w:ascii="Cambria Math" w:hAnsi="Cambria Math"/>
          </w:rPr>
          <m:t>f</m:t>
        </m:r>
      </m:oMath>
      <w:r w:rsidR="00125D76">
        <w:t xml:space="preserve">. </w:t>
      </w:r>
    </w:p>
    <w:p w14:paraId="747FF5C3" w14:textId="77777777" w:rsidR="00E72124" w:rsidRDefault="00E72124" w:rsidP="00E72124">
      <w:r>
        <w:t xml:space="preserve">Consideremos el caso de dos firmas vecinas </w:t>
      </w:r>
      <m:oMath>
        <m:r>
          <w:rPr>
            <w:rFonts w:ascii="Cambria Math" w:hAnsi="Cambria Math"/>
          </w:rPr>
          <m:t>i</m:t>
        </m:r>
      </m:oMath>
      <w:r>
        <w:t xml:space="preserve"> e </w:t>
      </w:r>
      <m:oMath>
        <m:r>
          <w:rPr>
            <w:rFonts w:ascii="Cambria Math" w:hAnsi="Cambria Math"/>
          </w:rPr>
          <m:t>i</m:t>
        </m:r>
        <m:r>
          <m:rPr>
            <m:sty m:val="p"/>
          </m:rPr>
          <w:rPr>
            <w:rFonts w:ascii="Cambria Math" w:hAnsi="Cambria Math"/>
          </w:rPr>
          <m:t>+</m:t>
        </m:r>
        <m:r>
          <w:rPr>
            <w:rFonts w:ascii="Cambria Math" w:hAnsi="Cambria Math"/>
          </w:rPr>
          <m:t>1</m:t>
        </m:r>
      </m:oMath>
      <w:r>
        <w:t>. El problema de maximización se convierte en:</w:t>
      </w:r>
    </w:p>
    <w:p w14:paraId="6C043492" w14:textId="1EAD8154" w:rsidR="00E72124" w:rsidRDefault="00E72124" w:rsidP="00E72124">
      <m:oMathPara>
        <m:oMath>
          <m:r>
            <w:rPr>
              <w:rFonts w:ascii="Cambria Math" w:hAnsi="Cambria Math"/>
            </w:rPr>
            <m:t>ma</m:t>
          </m:r>
          <m:r>
            <w:rPr>
              <w:rFonts w:ascii="Cambria Math" w:hAnsi="Cambria Math"/>
            </w:rPr>
            <m:t>x</m:t>
          </m:r>
          <m:r>
            <m:rPr>
              <m:sty m:val="p"/>
            </m:rPr>
            <w:rPr>
              <w:rFonts w:ascii="Cambria Math" w:hAnsi="Cambria Math"/>
            </w:rPr>
            <m:t>_(</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 xml:space="preserve">) ) </m:t>
          </m:r>
          <m:r>
            <w:rPr>
              <w:rFonts w:ascii="Cambria Math" w:hAnsi="Cambria Math"/>
            </w:rPr>
            <m:t>π</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7861B341" w14:textId="151AB2F4" w:rsidR="00E72124" w:rsidRDefault="00E72124" w:rsidP="00E72124">
      <m:oMathPara>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r>
            <m:rPr>
              <m:sty m:val="p"/>
            </m:rPr>
            <w:rPr>
              <w:rFonts w:ascii="Cambria Math" w:hAnsi="Cambria Math"/>
            </w:rPr>
            <m:t>)</m:t>
          </m:r>
          <m:r>
            <m:rPr>
              <m:sty m:val="p"/>
            </m:rPr>
            <w:rPr>
              <w:rFonts w:ascii="Cambria Math" w:hAnsi="Cambria Math"/>
            </w:rPr>
            <m:t>-</m:t>
          </m:r>
          <m: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2f</m:t>
          </m:r>
        </m:oMath>
      </m:oMathPara>
    </w:p>
    <w:p w14:paraId="5726CC4F" w14:textId="77777777" w:rsidR="00E72124" w:rsidRDefault="00E72124" w:rsidP="00E72124">
      <w:r>
        <w:t>Resolviendo se obtiene:</w:t>
      </w:r>
    </w:p>
    <w:p w14:paraId="0678CABE" w14:textId="3F34B552" w:rsidR="00E72124" w:rsidRDefault="00F256B3" w:rsidP="00E72124">
      <m:oMathPara>
        <m:oMathParaPr>
          <m:jc m:val="center"/>
        </m:oMathParaPr>
        <m:oMath>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63069EE8" w14:textId="44AF1641" w:rsidR="00E72124" w:rsidRDefault="00F256B3" w:rsidP="00E72124">
      <m:oMathPara>
        <m:oMathParaPr>
          <m:jc m:val="center"/>
        </m:oMathParaPr>
        <m:oMath>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r>
            <m:rPr>
              <m:sty m:val="p"/>
            </m:rPr>
            <w:rPr>
              <w:rFonts w:ascii="Cambria Math" w:hAnsi="Cambria Math"/>
            </w:rPr>
            <m:t>)</m:t>
          </m:r>
          <m:r>
            <m:rPr>
              <m:sty m:val="p"/>
            </m:rPr>
            <w:rPr>
              <w:rFonts w:ascii="Cambria Math" w:hAnsi="Cambria Math"/>
            </w:rPr>
            <m:t>+</m:t>
          </m:r>
          <m: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100B19DA" w14:textId="77777777" w:rsidR="00E72124" w:rsidRDefault="00E72124" w:rsidP="00E72124">
      <w:pPr>
        <w:pStyle w:val="Ttulo2"/>
        <w:numPr>
          <w:ilvl w:val="1"/>
          <w:numId w:val="0"/>
        </w:numPr>
      </w:pPr>
      <w:bookmarkStart w:id="26" w:name="fusión-de-firmas-vecinas-1"/>
      <w:bookmarkEnd w:id="25"/>
      <w:r>
        <w:t>Fusión de firmas vecinas</w:t>
      </w:r>
    </w:p>
    <w:p w14:paraId="14EB856F" w14:textId="78BF47C5" w:rsidR="00E72124" w:rsidRDefault="00E72124" w:rsidP="00E72124">
      <w:r>
        <w:t xml:space="preserve">Para aprovechar la simetría del problema, cambiemos de notación, para denotar con </w:t>
      </w:r>
      <m:oMath>
        <m:r>
          <w:rPr>
            <w:rFonts w:ascii="Cambria Math" w:hAnsi="Cambria Math"/>
          </w:rPr>
          <m:t>P</m:t>
        </m:r>
        <m:r>
          <m:rPr>
            <m:sty m:val="p"/>
          </m:rPr>
          <w:rPr>
            <w:rFonts w:ascii="Cambria Math" w:hAnsi="Cambria Math"/>
          </w:rPr>
          <m:t>^</m:t>
        </m:r>
        <m:r>
          <w:rPr>
            <w:rFonts w:ascii="Cambria Math" w:hAnsi="Cambria Math"/>
          </w:rPr>
          <m:t>0</m:t>
        </m:r>
      </m:oMath>
      <w:r>
        <w:t xml:space="preserve">, siendo el precio que fijan las firmas que se fusionan, y </w:t>
      </w:r>
      <m:oMath>
        <m:r>
          <w:rPr>
            <w:rFonts w:ascii="Cambria Math" w:hAnsi="Cambria Math"/>
          </w:rPr>
          <m:t>p</m:t>
        </m:r>
        <m:r>
          <m:rPr>
            <m:sty m:val="p"/>
          </m:rPr>
          <w:rPr>
            <w:rFonts w:ascii="Cambria Math" w:hAnsi="Cambria Math"/>
          </w:rPr>
          <m:t>^</m:t>
        </m:r>
        <m:r>
          <w:rPr>
            <w:rFonts w:ascii="Cambria Math" w:hAnsi="Cambria Math"/>
          </w:rPr>
          <m:t>k</m:t>
        </m:r>
      </m:oMath>
      <w:r>
        <w:t xml:space="preserve"> representan el precio que cobra una firma a una distancia </w:t>
      </w:r>
      <m:oMath>
        <m:r>
          <w:rPr>
            <w:rFonts w:ascii="Cambria Math" w:hAnsi="Cambria Math"/>
          </w:rPr>
          <m:t>k</m:t>
        </m:r>
        <m:r>
          <m:rPr>
            <m:sty m:val="p"/>
          </m:rPr>
          <w:rPr>
            <w:rFonts w:ascii="Cambria Math" w:hAnsi="Cambria Math"/>
          </w:rPr>
          <m:t>/</m:t>
        </m:r>
        <m:r>
          <w:rPr>
            <w:rFonts w:ascii="Cambria Math" w:hAnsi="Cambria Math"/>
          </w:rPr>
          <m:t>N</m:t>
        </m:r>
      </m:oMath>
      <w:r>
        <w:t xml:space="preserve"> de la la firma más cercana fusionada. La reacción que tendrá es:</w:t>
      </w:r>
    </w:p>
    <w:p w14:paraId="2A6AA082" w14:textId="63551FEC" w:rsidR="00E72124" w:rsidRDefault="00F256B3" w:rsidP="00E72124">
      <m:oMathPara>
        <m:oMath>
          <m:r>
            <w:rPr>
              <w:rFonts w:ascii="Cambria Math" w:hAnsi="Cambria Math"/>
            </w:rPr>
            <w:lastRenderedPageBreak/>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579C6302" w14:textId="77777777" w:rsidR="00E72124" w:rsidRDefault="00E72124" w:rsidP="00E72124">
      <w:r>
        <w:t xml:space="preserve">A su vez, se puede probar que la reacción de la firma </w:t>
      </w:r>
      <m:oMath>
        <m:r>
          <w:rPr>
            <w:rFonts w:ascii="Cambria Math" w:hAnsi="Cambria Math"/>
          </w:rPr>
          <m:t>k</m:t>
        </m:r>
      </m:oMath>
      <w:r>
        <w:t xml:space="preserve"> puede ser expresada como:</w:t>
      </w:r>
    </w:p>
    <w:p w14:paraId="258F1E04" w14:textId="63D2BD7A" w:rsidR="00E72124" w:rsidRDefault="00F256B3" w:rsidP="00E72124">
      <m:oMathPara>
        <m:oMathParaPr>
          <m:jc m:val="center"/>
        </m:oMathParaP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oMath>
      </m:oMathPara>
    </w:p>
    <w:p w14:paraId="7E7F5491" w14:textId="77777777" w:rsidR="00E72124" w:rsidRDefault="00E72124" w:rsidP="00E72124">
      <w:r>
        <w:t xml:space="preserve">Donde </w:t>
      </w:r>
      <m:oMath>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2</m:t>
        </m:r>
      </m:oMath>
      <w:r>
        <w:t xml:space="preserve">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si </w:t>
      </w:r>
      <m:oMath>
        <m:r>
          <w:rPr>
            <w:rFonts w:ascii="Cambria Math" w:hAnsi="Cambria Math"/>
          </w:rPr>
          <m:t>N</m:t>
        </m:r>
        <m:r>
          <m:rPr>
            <m:sty m:val="p"/>
          </m:rPr>
          <w:rPr>
            <w:rFonts w:ascii="Cambria Math" w:hAnsi="Cambria Math"/>
          </w:rPr>
          <m:t>-</m:t>
        </m:r>
        <m:r>
          <w:rPr>
            <w:rFonts w:ascii="Cambria Math" w:hAnsi="Cambria Math"/>
          </w:rPr>
          <m:t>M</m:t>
        </m:r>
      </m:oMath>
      <w:r>
        <w:t xml:space="preserve"> es par (impar)</w:t>
      </w:r>
    </w:p>
    <w:p w14:paraId="75DC4C10" w14:textId="77777777" w:rsidR="00E72124" w:rsidRDefault="00E72124" w:rsidP="00E72124">
      <m:oMath>
        <m:r>
          <w:rPr>
            <w:rFonts w:ascii="Cambria Math" w:hAnsi="Cambria Math"/>
          </w:rPr>
          <m:t>M</m:t>
        </m:r>
      </m:oMath>
      <w:r>
        <w:t xml:space="preserve"> es el número de firmas que se fusionan</w:t>
      </w:r>
    </w:p>
    <w:p w14:paraId="1F5EF8BA" w14:textId="0F925019" w:rsidR="00E72124" w:rsidRDefault="00F256B3" w:rsidP="00E72124">
      <m:oMath>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w:r w:rsidR="00E72124">
        <w:t xml:space="preserve">, </w:t>
      </w:r>
      <m:oMath>
        <m:r>
          <w:rPr>
            <w:rFonts w:ascii="Cambria Math" w:hAnsi="Cambria Math"/>
          </w:rPr>
          <m:t>B</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rsidR="00E72124">
        <w:t xml:space="preserve">, $B^{-1} = 1 (2), si </w:t>
      </w:r>
      <m:oMath>
        <m:r>
          <w:rPr>
            <w:rFonts w:ascii="Cambria Math" w:hAnsi="Cambria Math"/>
          </w:rPr>
          <m:t>N</m:t>
        </m:r>
        <m:r>
          <m:rPr>
            <m:sty m:val="p"/>
          </m:rPr>
          <w:rPr>
            <w:rFonts w:ascii="Cambria Math" w:hAnsi="Cambria Math"/>
          </w:rPr>
          <m:t>-</m:t>
        </m:r>
        <m:r>
          <w:rPr>
            <w:rFonts w:ascii="Cambria Math" w:hAnsi="Cambria Math"/>
          </w:rPr>
          <m:t>M</m:t>
        </m:r>
      </m:oMath>
      <w:r w:rsidR="00E72124">
        <w:t xml:space="preserve"> es par (impar)</w:t>
      </w:r>
    </w:p>
    <w:p w14:paraId="1978B53D" w14:textId="77777777" w:rsidR="00E72124" w:rsidRDefault="00E72124" w:rsidP="00E72124">
      <w:pPr>
        <w:pStyle w:val="Ttulo2"/>
        <w:numPr>
          <w:ilvl w:val="1"/>
          <w:numId w:val="0"/>
        </w:numPr>
      </w:pPr>
      <w:bookmarkStart w:id="27" w:name="fusión-de-firmas-vecinas-2"/>
      <w:bookmarkEnd w:id="26"/>
      <w:r>
        <w:t>Fusión de firmas vecinas</w:t>
      </w:r>
    </w:p>
    <w:p w14:paraId="46CDAB71" w14:textId="77777777" w:rsidR="00E72124" w:rsidRDefault="00E72124" w:rsidP="00E72124">
      <w:r>
        <w:t>Se puede resolver recursivamente, se encuentran los precios de equilibrio:</w:t>
      </w:r>
    </w:p>
    <w:p w14:paraId="5B36F66D" w14:textId="5F052FE4" w:rsidR="00E72124" w:rsidRDefault="00F256B3" w:rsidP="00E72124">
      <m:oMathPara>
        <m:oMathParaPr>
          <m:jc m:val="center"/>
        </m:oMathParaPr>
        <m:oMath>
          <m:r>
            <w:rPr>
              <w:rFonts w:ascii="Cambria Math" w:hAnsi="Cambria Math"/>
            </w:rPr>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66988E69" w14:textId="73290321" w:rsidR="00E72124" w:rsidRDefault="00F256B3" w:rsidP="00E72124">
      <m:oMathPara>
        <m:oMathParaPr>
          <m:jc m:val="center"/>
        </m:oMathParaP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059C31AF" w14:textId="6F9394EB" w:rsidR="00E72124" w:rsidRDefault="00E72124" w:rsidP="00E72124">
      <w:r>
        <w:t xml:space="preserve">con </w:t>
      </w:r>
      <m:oMath>
        <m:r>
          <w:rPr>
            <w:rFonts w:ascii="Cambria Math" w:hAnsi="Cambria Math"/>
          </w:rPr>
          <m:t>L</m:t>
        </m:r>
        <m:r>
          <m:rPr>
            <m:sty m:val="p"/>
          </m:rPr>
          <w:rPr>
            <w:rFonts w:ascii="Cambria Math" w:hAnsi="Cambria Math"/>
          </w:rPr>
          <m:t>=</m:t>
        </m:r>
        <m: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w:p>
    <w:p w14:paraId="542AAA64" w14:textId="77777777" w:rsidR="00E72124" w:rsidRDefault="00E72124" w:rsidP="00E72124">
      <w:r>
        <w:t>Los beneficios de la firma que es parte de la fusión es:</w:t>
      </w:r>
    </w:p>
    <w:p w14:paraId="03D7916D" w14:textId="75B0F31A" w:rsidR="00E72124" w:rsidRDefault="00F256B3" w:rsidP="00E72124">
      <m:oMathPara>
        <m:oMathParaPr>
          <m:jc m:val="center"/>
        </m:oMathParaPr>
        <m:oMath>
          <m:r>
            <w:rPr>
              <w:rFonts w:ascii="Cambria Math" w:hAnsi="Cambria Math"/>
            </w:rPr>
            <m:t>π</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f</m:t>
          </m:r>
        </m:oMath>
      </m:oMathPara>
    </w:p>
    <w:p w14:paraId="7FF2C6EE" w14:textId="77777777" w:rsidR="00E72124" w:rsidRDefault="00E72124" w:rsidP="00E72124">
      <w:pPr>
        <w:pStyle w:val="Ttulo2"/>
        <w:numPr>
          <w:ilvl w:val="1"/>
          <w:numId w:val="0"/>
        </w:numPr>
      </w:pPr>
      <w:bookmarkStart w:id="28" w:name="fusión-de-firmas-vecinas-3"/>
      <w:bookmarkEnd w:id="27"/>
      <w:r>
        <w:t>Fusión de firmas vecinas</w:t>
      </w:r>
    </w:p>
    <w:p w14:paraId="1FC68B7A" w14:textId="77777777" w:rsidR="00E72124" w:rsidRDefault="00E72124" w:rsidP="00E72124">
      <w:r>
        <w:t>Para las firmas externas, los beneficios son:</w:t>
      </w:r>
    </w:p>
    <w:p w14:paraId="1EE19A45" w14:textId="5A4DB573" w:rsidR="00E72124" w:rsidRDefault="00F256B3" w:rsidP="00E72124">
      <m:oMathPara>
        <m:oMathParaPr>
          <m:jc m:val="center"/>
        </m:oMathParaPr>
        <m:oMath>
          <m:r>
            <w:rPr>
              <w:rFonts w:ascii="Cambria Math" w:hAnsi="Cambria Math"/>
            </w:rPr>
            <w:lastRenderedPageBreak/>
            <m:t>π</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f</m:t>
          </m:r>
        </m:oMath>
      </m:oMathPara>
    </w:p>
    <w:p w14:paraId="4FE7FF77" w14:textId="32436847" w:rsidR="00E72124" w:rsidRDefault="00E72124" w:rsidP="00E72124">
      <w:r>
        <w:t xml:space="preserve">Como </w:t>
      </w:r>
      <m:oMath>
        <m:r>
          <w:rPr>
            <w:rFonts w:ascii="Cambria Math" w:hAnsi="Cambria Math"/>
          </w:rPr>
          <m:t>0</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K</m:t>
        </m:r>
      </m:oMath>
      <w:r>
        <w:t>, se puede probar que:</w:t>
      </w:r>
    </w:p>
    <w:p w14:paraId="12404D21" w14:textId="67663F81" w:rsidR="00E72124" w:rsidRDefault="00F256B3" w:rsidP="00E72124">
      <m:oMathPara>
        <m:oMathParaPr>
          <m:jc m:val="center"/>
        </m:oMathParaPr>
        <m:oMath>
          <m:r>
            <w:rPr>
              <w:rFonts w:ascii="Cambria Math" w:hAnsi="Cambria Math"/>
            </w:rPr>
            <m:t>π</m:t>
          </m:r>
          <m:r>
            <m:rPr>
              <m:sty m:val="p"/>
            </m:rPr>
            <w:rPr>
              <w:rFonts w:ascii="Cambria Math" w:hAnsi="Cambria Math"/>
            </w:rPr>
            <m:t>^</m:t>
          </m:r>
          <m:r>
            <w:rPr>
              <w:rFonts w:ascii="Cambria Math" w:hAnsi="Cambria Math"/>
            </w:rPr>
            <m:t>1</m:t>
          </m:r>
          <m:r>
            <m:rPr>
              <m:sty m:val="p"/>
            </m:rPr>
            <w:rPr>
              <w:rFonts w:ascii="Cambria Math" w:hAnsi="Cambria Math"/>
            </w:rPr>
            <m:t>&gt;</m:t>
          </m:r>
          <m:r>
            <w:rPr>
              <w:rFonts w:ascii="Cambria Math" w:hAnsi="Cambria Math"/>
            </w:rPr>
            <m:t>π</m:t>
          </m:r>
          <m:r>
            <m:rPr>
              <m:sty m:val="p"/>
            </m:rPr>
            <w:rPr>
              <w:rFonts w:ascii="Cambria Math" w:hAnsi="Cambria Math"/>
            </w:rPr>
            <m:t>^</m:t>
          </m:r>
          <m:r>
            <w:rPr>
              <w:rFonts w:ascii="Cambria Math" w:hAnsi="Cambria Math"/>
            </w:rPr>
            <m:t>0</m:t>
          </m:r>
          <m:r>
            <m:rPr>
              <m:sty m:val="p"/>
            </m:rPr>
            <w:rPr>
              <w:rFonts w:ascii="Cambria Math" w:hAnsi="Cambria Math"/>
            </w:rPr>
            <m:t>&gt;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&gt;</m:t>
          </m:r>
          <m:r>
            <w:rPr>
              <w:rFonts w:ascii="Cambria Math" w:hAnsi="Cambria Math"/>
            </w:rPr>
            <m:t>π</m:t>
          </m:r>
          <m:r>
            <m:rPr>
              <m:sty m:val="p"/>
            </m:rPr>
            <w:rPr>
              <w:rFonts w:ascii="Cambria Math" w:hAnsi="Cambria Math"/>
            </w:rPr>
            <m:t>^</m:t>
          </m:r>
          <m:r>
            <w:rPr>
              <w:rFonts w:ascii="Cambria Math" w:hAnsi="Cambria Math"/>
            </w:rPr>
            <m:t>3</m:t>
          </m:r>
          <m:r>
            <m:rPr>
              <m:sty m:val="p"/>
            </m:rPr>
            <w:rPr>
              <w:rFonts w:ascii="Cambria Math" w:hAnsi="Cambria Math"/>
            </w:rPr>
            <m:t>&gt;...</m:t>
          </m:r>
        </m:oMath>
      </m:oMathPara>
    </w:p>
    <w:p w14:paraId="47DB96BF" w14:textId="77777777" w:rsidR="00E72124" w:rsidRDefault="00E72124" w:rsidP="00E72124">
      <w:r>
        <w:t>Es decir, las firmas externas más cercanas a la fusión perciben mayores beneficios, que las firmas fusionadas, pero estas a su vez, perciben mayores beneficios que el resto, lo que limita el problema de free-</w:t>
      </w:r>
      <w:proofErr w:type="spellStart"/>
      <w:r>
        <w:t>rider</w:t>
      </w:r>
      <w:proofErr w:type="spellEnd"/>
      <w:r>
        <w:t>. Es decir, una firma solo se restringiría de fusionarse, si esperase que su firma vecina lo haga antes.</w:t>
      </w:r>
    </w:p>
    <w:p w14:paraId="4E32FA39" w14:textId="77777777" w:rsidR="00E72124" w:rsidRDefault="00E72124" w:rsidP="00E72124">
      <w:pPr>
        <w:pStyle w:val="Ttulo2"/>
        <w:numPr>
          <w:ilvl w:val="1"/>
          <w:numId w:val="0"/>
        </w:numPr>
      </w:pPr>
      <w:bookmarkStart w:id="29" w:name="fusión-de-firmas-vecinas-4"/>
      <w:bookmarkEnd w:id="28"/>
      <w:r>
        <w:t>Fusión de firmas vecinas</w:t>
      </w:r>
    </w:p>
    <w:p w14:paraId="14B63892" w14:textId="77777777" w:rsidR="00E72124" w:rsidRDefault="00E72124" w:rsidP="00E72124">
      <w:r>
        <w:t>Antes de la fusión, cada firma maximiza independiente sus beneficios.</w:t>
      </w:r>
    </w:p>
    <w:p w14:paraId="2DA5070A" w14:textId="77777777" w:rsidR="00E72124" w:rsidRDefault="00E72124" w:rsidP="00E72124">
      <w:r>
        <w:t>Luego de la fusión, las firmas participantes internalizan el hecho que al subir los precios en una locación, incrementan los ganas en las demás.</w:t>
      </w:r>
    </w:p>
    <w:bookmarkEnd w:id="18"/>
    <w:bookmarkEnd w:id="29"/>
    <w:p w14:paraId="07291C38" w14:textId="77777777" w:rsidR="00E72124" w:rsidRPr="00E72124" w:rsidRDefault="00E72124" w:rsidP="00E72124"/>
    <w:p w14:paraId="0D9B6B45" w14:textId="04C56E55" w:rsidR="00A91D92" w:rsidRPr="00074369" w:rsidRDefault="00A91D92" w:rsidP="002C12C7">
      <w:pPr>
        <w:pStyle w:val="Ttulo1"/>
      </w:pPr>
      <w:r w:rsidRPr="00074369">
        <w:t>Mercado de combustibles líquidos</w:t>
      </w:r>
      <w:bookmarkEnd w:id="17"/>
      <w:r w:rsidRPr="00074369">
        <w:t xml:space="preserve"> </w:t>
      </w:r>
    </w:p>
    <w:p w14:paraId="4BC2FC02" w14:textId="77777777" w:rsidR="005453E0" w:rsidRPr="00074369" w:rsidRDefault="005453E0" w:rsidP="005453E0">
      <w:pPr>
        <w:pStyle w:val="Ttulo2"/>
      </w:pPr>
      <w:bookmarkStart w:id="30" w:name="_Toc11178406"/>
      <w:commentRangeStart w:id="31"/>
      <w:commentRangeStart w:id="32"/>
      <w:commentRangeStart w:id="33"/>
      <w:r w:rsidRPr="00074369">
        <w:t>Generalidades sobre el mercado de combustibles líquidos</w:t>
      </w:r>
      <w:commentRangeEnd w:id="31"/>
      <w:r w:rsidRPr="00074369">
        <w:rPr>
          <w:rStyle w:val="Refdecomentario"/>
          <w:b w:val="0"/>
        </w:rPr>
        <w:commentReference w:id="31"/>
      </w:r>
      <w:commentRangeEnd w:id="32"/>
      <w:r w:rsidRPr="00074369">
        <w:rPr>
          <w:rStyle w:val="Refdecomentario"/>
          <w:b w:val="0"/>
        </w:rPr>
        <w:commentReference w:id="32"/>
      </w:r>
      <w:bookmarkEnd w:id="30"/>
      <w:commentRangeEnd w:id="33"/>
      <w:r w:rsidR="00CC0ED4">
        <w:rPr>
          <w:rStyle w:val="Refdecomentario"/>
          <w:b w:val="0"/>
        </w:rPr>
        <w:commentReference w:id="33"/>
      </w:r>
    </w:p>
    <w:p w14:paraId="5894209F" w14:textId="797AD6C7" w:rsidR="005453E0" w:rsidRPr="00074369" w:rsidRDefault="005453E0" w:rsidP="005453E0">
      <w:r w:rsidRPr="00074369">
        <w:t xml:space="preserve">Los combustibles líquidos se producen en complejos industriales a partir del crudo de petróleo. Debido a ser un </w:t>
      </w:r>
      <w:proofErr w:type="spellStart"/>
      <w:r w:rsidRPr="00074369">
        <w:rPr>
          <w:i/>
        </w:rPr>
        <w:t>commodity</w:t>
      </w:r>
      <w:proofErr w:type="spellEnd"/>
      <w:r w:rsidRPr="00074369">
        <w:rPr>
          <w:i/>
        </w:rPr>
        <w:t xml:space="preserve">, </w:t>
      </w:r>
      <w:r w:rsidRPr="00074369">
        <w:t xml:space="preserve">el precio referencial del crudo se establece en mercado muy líquidos con determinados marcadores de precios (como el </w:t>
      </w:r>
      <w:r w:rsidR="00953183" w:rsidRPr="00074369">
        <w:t xml:space="preserve">crudo </w:t>
      </w:r>
      <w:r w:rsidRPr="00074369">
        <w:t xml:space="preserve">WTI o </w:t>
      </w:r>
      <w:r w:rsidR="00953183" w:rsidRPr="00074369">
        <w:t xml:space="preserve">crudo </w:t>
      </w:r>
      <w:r w:rsidRPr="00074369">
        <w:t xml:space="preserve">Brent) y con primas o castigos asociados a la calidad del crudo, su rendimiento de productos líquidos y su facilidad de procesamiento. Los combustibles </w:t>
      </w:r>
      <w:r w:rsidR="00C60D8E">
        <w:t xml:space="preserve">en calidad regulada por el país </w:t>
      </w:r>
      <w:r w:rsidRPr="00074369">
        <w:t xml:space="preserve">son vendidos por las refinerías a mayoristas. </w:t>
      </w:r>
      <w:r w:rsidR="00C60D8E">
        <w:t>Sin embargo, l</w:t>
      </w:r>
      <w:r w:rsidRPr="00074369">
        <w:t xml:space="preserve">as refinerías muchas vecen cuentan con un brazo comercial que les permite integrar estas funciones y generar mayores ingresos en la operación global. Los </w:t>
      </w:r>
      <w:r w:rsidRPr="00074369">
        <w:lastRenderedPageBreak/>
        <w:t xml:space="preserve">mayoristas se dedican a la venta </w:t>
      </w:r>
      <w:r w:rsidR="00953183" w:rsidRPr="00074369">
        <w:t xml:space="preserve">y transporte </w:t>
      </w:r>
      <w:r w:rsidRPr="00074369">
        <w:t>del combustible desde las plantas de almacenamiento</w:t>
      </w:r>
      <w:r w:rsidR="00953183" w:rsidRPr="00074369">
        <w:t xml:space="preserve"> hasta las estaciones</w:t>
      </w:r>
      <w:r w:rsidR="00C60D8E">
        <w:t xml:space="preserve"> de servicio, en donde se realiza la venta al usuario final</w:t>
      </w:r>
      <w:r w:rsidRPr="00074369">
        <w:t xml:space="preserve">. </w:t>
      </w:r>
    </w:p>
    <w:p w14:paraId="45B44B5A" w14:textId="35DABCBB" w:rsidR="005453E0" w:rsidRPr="00074369" w:rsidRDefault="005453E0" w:rsidP="005453E0">
      <w:r w:rsidRPr="00074369">
        <w:t xml:space="preserve">Las estaciones </w:t>
      </w:r>
      <w:r w:rsidR="00C60D8E">
        <w:t xml:space="preserve">de servicio </w:t>
      </w:r>
      <w:r w:rsidRPr="00074369">
        <w:t>se pueden dividir en tres grandes tipos: estaciones propias, abanderadas y estaciones independientes. Las estaciones propias son aquellas que pertenecen a un</w:t>
      </w:r>
      <w:r w:rsidR="00C60D8E">
        <w:t xml:space="preserve"> grupo</w:t>
      </w:r>
      <w:r w:rsidRPr="00074369">
        <w:t xml:space="preserve"> mayorista por lo que están integradas y las </w:t>
      </w:r>
      <w:r w:rsidR="00C60D8E">
        <w:t>decisiones de precios se toman en un</w:t>
      </w:r>
      <w:r w:rsidRPr="00074369">
        <w:t xml:space="preserve"> nivel centralizado. Por otra parte, las estaciones abanderadas pertenecen a terceros que firman contratos de franquicia mediante los cuales el mayorista se encarga de proveer el combustible “de marca”</w:t>
      </w:r>
      <w:r w:rsidRPr="00074369">
        <w:rPr>
          <w:rStyle w:val="Refdenotaalpie"/>
        </w:rPr>
        <w:footnoteReference w:id="2"/>
      </w:r>
      <w:r w:rsidRPr="00074369">
        <w:t xml:space="preserve"> a un precio diferenciado</w:t>
      </w:r>
      <w:r w:rsidR="00953183" w:rsidRPr="00074369">
        <w:t xml:space="preserve"> y </w:t>
      </w:r>
      <w:r w:rsidRPr="00074369">
        <w:t>proveer asistencia técnica</w:t>
      </w:r>
      <w:r w:rsidR="00953183" w:rsidRPr="00074369">
        <w:t>.</w:t>
      </w:r>
      <w:r w:rsidR="00C60D8E">
        <w:t xml:space="preserve"> </w:t>
      </w:r>
      <w:r w:rsidR="00953183" w:rsidRPr="00074369">
        <w:t>A</w:t>
      </w:r>
      <w:r w:rsidRPr="00074369">
        <w:t xml:space="preserve"> cambio</w:t>
      </w:r>
      <w:r w:rsidR="00953183" w:rsidRPr="00074369">
        <w:t>,</w:t>
      </w:r>
      <w:r w:rsidRPr="00074369">
        <w:t xml:space="preserve"> la estación solo vende combustible adquirido a través del mayorista además de mostrar los colores y nombre de la marca</w:t>
      </w:r>
      <w:r w:rsidR="002778EE">
        <w:t xml:space="preserve"> del mismo</w:t>
      </w:r>
      <w:r w:rsidRPr="00074369">
        <w:t>. Finalmente, se encuentran las estaciones independientes que no tienen ninguna marca asociada y son libres de comprar el combustible a cualquiera de los mayoristas en el mercado.</w:t>
      </w:r>
    </w:p>
    <w:p w14:paraId="65C75419" w14:textId="0EA3904F" w:rsidR="005453E0" w:rsidRPr="00074369" w:rsidRDefault="005453E0" w:rsidP="00AE7D0B">
      <w:pPr>
        <w:pStyle w:val="Ttulo2"/>
      </w:pPr>
      <w:bookmarkStart w:id="34" w:name="_Toc11178407"/>
      <w:r w:rsidRPr="00074369">
        <w:t>Mercado de combustibles líquidos en Lima Metropolitana</w:t>
      </w:r>
      <w:bookmarkEnd w:id="34"/>
    </w:p>
    <w:p w14:paraId="7388D270" w14:textId="02C1E0FB" w:rsidR="00AE7D0B" w:rsidRPr="00074369" w:rsidRDefault="00AE7D0B" w:rsidP="00AE7D0B">
      <w:r w:rsidRPr="00074369">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rsidRPr="00074369">
        <w:t>45</w:t>
      </w:r>
      <w:r w:rsidRPr="00074369">
        <w:t xml:space="preserve">% de los requerimientos del diésel y </w:t>
      </w:r>
      <w:r w:rsidR="004E0A9A" w:rsidRPr="00074369">
        <w:t>80</w:t>
      </w:r>
      <w:r w:rsidRPr="00074369">
        <w:t xml:space="preserve">% de la demanda de gasolina en el país. </w:t>
      </w:r>
      <w:r w:rsidR="000B0CED" w:rsidRPr="00074369">
        <w:t xml:space="preserve">La capacidad total de refinación en el país alcanza </w:t>
      </w:r>
      <w:r w:rsidR="00802E4C" w:rsidRPr="00074369">
        <w:t>202 miles de</w:t>
      </w:r>
      <w:r w:rsidR="000B0CED" w:rsidRPr="00074369">
        <w:t xml:space="preserve"> barriles </w:t>
      </w:r>
      <w:r w:rsidR="002778EE">
        <w:t xml:space="preserve">de petróleo </w:t>
      </w:r>
      <w:r w:rsidR="000B0CED" w:rsidRPr="00074369">
        <w:t xml:space="preserve">por día con una importación de </w:t>
      </w:r>
      <w:r w:rsidR="00802E4C" w:rsidRPr="00074369">
        <w:t xml:space="preserve">80 mil </w:t>
      </w:r>
      <w:r w:rsidR="000B0CED" w:rsidRPr="00074369">
        <w:t>barriles por día siend</w:t>
      </w:r>
      <w:r w:rsidR="00802E4C" w:rsidRPr="00074369">
        <w:t>o el principal suministrador Ecuador</w:t>
      </w:r>
      <w:r w:rsidR="0039418B" w:rsidRPr="00074369">
        <w:t xml:space="preserve"> </w:t>
      </w:r>
      <w:r w:rsidR="0039418B" w:rsidRPr="00074369">
        <w:fldChar w:fldCharType="begin"/>
      </w:r>
      <w:r w:rsidR="006F6D84">
        <w:instrText xml:space="preserve"> ADDIN ZOTERO_ITEM CSL_CITATION {"citationID":"uVUjLf6O","properties":{"formattedCitation":"(Osinergmin, 2015)","plainCitation":"(Osinergmin, 2015)","noteIndex":0},"citationItems":[{"id":658,"uris":["http://zotero.org/groups/2269288/items/4UYXVPCQ"],"uri":["http://zotero.org/groups/2269288/items/4UYXVPCQ"],"itemData":{"id":658,"type":"book","note":"Citation Key: organismosupervisordelainversionenenergiaymineriaIndustriaHidrocarburosLiquidos2015","title":"La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Minería"}],"accessed":{"date-parts":[["2019",4,15]]},"issued":{"date-parts":[["2015"]]}},"suppress-author":true,"prefix":"Osinergmin, "}],"schema":"https://github.com/citation-style-language/schema/raw/master/csl-citation.json"} </w:instrText>
      </w:r>
      <w:r w:rsidR="0039418B" w:rsidRPr="00074369">
        <w:fldChar w:fldCharType="separate"/>
      </w:r>
      <w:r w:rsidR="00355C59" w:rsidRPr="00355C59">
        <w:rPr>
          <w:rFonts w:ascii="Times New Roman" w:hAnsi="Times New Roman"/>
        </w:rPr>
        <w:t>(Osinergmin, 2015)</w:t>
      </w:r>
      <w:r w:rsidR="0039418B" w:rsidRPr="00074369">
        <w:fldChar w:fldCharType="end"/>
      </w:r>
      <w:r w:rsidR="000B0CED" w:rsidRPr="00074369">
        <w:t xml:space="preserve">. </w:t>
      </w:r>
      <w:r w:rsidR="0039418B" w:rsidRPr="00074369">
        <w:t>Dado que la demanda de combustible no puede ser atendida por las refinerías locales, el resto es importado por los dos producto</w:t>
      </w:r>
      <w:r w:rsidR="002778EE">
        <w:t>res principales y por un tercer importador</w:t>
      </w:r>
      <w:r w:rsidR="0039418B" w:rsidRPr="00074369">
        <w:t xml:space="preserve"> que solo actúa como intermediario</w:t>
      </w:r>
      <w:r w:rsidR="002778EE">
        <w:t xml:space="preserve"> sin contar con producción local</w:t>
      </w:r>
      <w:r w:rsidR="0039418B" w:rsidRPr="00074369">
        <w:t>.</w:t>
      </w:r>
      <w:r w:rsidRPr="00074369">
        <w:t xml:space="preserve"> </w:t>
      </w:r>
      <w:r w:rsidR="000B0CED" w:rsidRPr="00074369">
        <w:t>Los dos productores de combustibles son Refinería La Pampilla, perteneciente al grupo español Repsol y la petrolera estatal</w:t>
      </w:r>
      <w:r w:rsidR="0039418B" w:rsidRPr="00074369">
        <w:t xml:space="preserve"> Petróleos del Perú (</w:t>
      </w:r>
      <w:r w:rsidR="00953183" w:rsidRPr="00074369">
        <w:t>Petroperú</w:t>
      </w:r>
      <w:r w:rsidR="0039418B" w:rsidRPr="00074369">
        <w:t xml:space="preserve">), en tanto que el tercer importador es Pure </w:t>
      </w:r>
      <w:proofErr w:type="spellStart"/>
      <w:r w:rsidR="0039418B" w:rsidRPr="00074369">
        <w:t>Biofuels</w:t>
      </w:r>
      <w:proofErr w:type="spellEnd"/>
      <w:r w:rsidR="0039418B" w:rsidRPr="00074369">
        <w:t xml:space="preserve">. La mayor parte de las </w:t>
      </w:r>
      <w:r w:rsidR="0039418B" w:rsidRPr="00074369">
        <w:lastRenderedPageBreak/>
        <w:t xml:space="preserve">importaciones provienen del Golfo de los </w:t>
      </w:r>
      <w:r w:rsidR="00E11291" w:rsidRPr="00074369">
        <w:t>EE. UU</w:t>
      </w:r>
      <w:r w:rsidR="0039418B" w:rsidRPr="00074369">
        <w:t xml:space="preserve"> lo que une las fluctuaciones mundiales del precio de los combustibles al mercado local.</w:t>
      </w:r>
    </w:p>
    <w:p w14:paraId="3DD05CFA" w14:textId="07C8E193" w:rsidR="00B66247" w:rsidRPr="00074369" w:rsidRDefault="00802E4C" w:rsidP="00130F8F">
      <w:r w:rsidRPr="00074369">
        <w:t>Con respecto al siguiente elemento en la cadena de valor, los dos productores</w:t>
      </w:r>
      <w:r w:rsidR="00180658" w:rsidRPr="00074369">
        <w:t xml:space="preserve"> actúan como mayoristas</w:t>
      </w:r>
      <w:r w:rsidRPr="00074369">
        <w:t xml:space="preserve"> de combustible. E</w:t>
      </w:r>
      <w:r w:rsidR="00180658" w:rsidRPr="00074369">
        <w:t>n adición</w:t>
      </w:r>
      <w:r w:rsidRPr="00074369">
        <w:t>, realizan la venta de combustible</w:t>
      </w:r>
      <w:r w:rsidR="00A26805" w:rsidRPr="00074369">
        <w:t xml:space="preserve"> a</w:t>
      </w:r>
      <w:r w:rsidR="00180658" w:rsidRPr="00074369">
        <w:t xml:space="preserve"> los dos mayoristas en el mercado que no cuentan con producción propia</w:t>
      </w:r>
      <w:r w:rsidR="00A26805" w:rsidRPr="00074369">
        <w:t>,</w:t>
      </w:r>
      <w:r w:rsidR="001370F0">
        <w:t xml:space="preserve"> Pecsa</w:t>
      </w:r>
      <w:r w:rsidR="00A26805" w:rsidRPr="00074369">
        <w:t xml:space="preserve"> y Primax</w:t>
      </w:r>
      <w:r w:rsidR="00180658" w:rsidRPr="00074369">
        <w:t xml:space="preserve">. En el caso de Refinería La Pampilla, actúa a través de su brazo comercial </w:t>
      </w:r>
      <w:r w:rsidR="001370F0">
        <w:t>Repsol Comercial</w:t>
      </w:r>
      <w:r w:rsidR="00AA2505" w:rsidRPr="00074369">
        <w:t xml:space="preserve"> y opera directamente </w:t>
      </w:r>
      <w:r w:rsidR="003D327C" w:rsidRPr="00074369">
        <w:t>79</w:t>
      </w:r>
      <w:r w:rsidR="00180658" w:rsidRPr="00074369">
        <w:t xml:space="preserve"> estaciones de Lima Metropolitana</w:t>
      </w:r>
      <w:r w:rsidR="00AA2505" w:rsidRPr="00074369">
        <w:t xml:space="preserve"> (</w:t>
      </w:r>
      <w:r w:rsidR="003D327C" w:rsidRPr="00074369">
        <w:t>10.2</w:t>
      </w:r>
      <w:r w:rsidR="00AA2505" w:rsidRPr="00074369">
        <w:t>%)</w:t>
      </w:r>
      <w:r w:rsidR="00180658" w:rsidRPr="00074369">
        <w:t xml:space="preserve">, en tanto que Petroperú </w:t>
      </w:r>
      <w:r w:rsidR="001370F0">
        <w:t xml:space="preserve">solo actúa como mayorista </w:t>
      </w:r>
      <w:r w:rsidR="00180658" w:rsidRPr="00074369">
        <w:t>sin operar ninguna estaci</w:t>
      </w:r>
      <w:r w:rsidRPr="00074369">
        <w:t>ón propia</w:t>
      </w:r>
      <w:r w:rsidR="004F75F4" w:rsidRPr="00074369">
        <w:t xml:space="preserve"> </w:t>
      </w:r>
      <w:r w:rsidR="00130F8F" w:rsidRPr="00074369">
        <w:t>y solo abanderada estaciones a las cuales llega acuerdos para utilización de</w:t>
      </w:r>
      <w:r w:rsidR="00A26805" w:rsidRPr="00074369">
        <w:t xml:space="preserve"> su</w:t>
      </w:r>
      <w:r w:rsidR="00130F8F" w:rsidRPr="00074369">
        <w:t xml:space="preserve"> marca. De esta manera, Repsol es el único productor que está integrado desde la producción del combustible hasta su venta al consumidor final, siendo este esquema de integración vertical co</w:t>
      </w:r>
      <w:r w:rsidR="00AA2505" w:rsidRPr="00074369">
        <w:t>mún en los países desarrollados</w:t>
      </w:r>
      <w:r w:rsidR="001370F0">
        <w:t xml:space="preserve">, en los que existen </w:t>
      </w:r>
      <w:r w:rsidR="00AA2505" w:rsidRPr="00074369">
        <w:t>varios competidores</w:t>
      </w:r>
      <w:r w:rsidR="001370F0">
        <w:t xml:space="preserve"> integrados</w:t>
      </w:r>
      <w:r w:rsidR="00AA2505" w:rsidRPr="00074369">
        <w:t xml:space="preserve"> en una misma zona geográfica.</w:t>
      </w:r>
    </w:p>
    <w:p w14:paraId="5C44CD58" w14:textId="19793E32" w:rsidR="00F752E8" w:rsidRPr="00074369" w:rsidRDefault="00F752E8" w:rsidP="00F752E8">
      <w:pPr>
        <w:pStyle w:val="Descripcin"/>
      </w:pPr>
      <w:bookmarkStart w:id="35" w:name="_Ref8911506"/>
      <w:bookmarkStart w:id="36" w:name="_Toc6348796"/>
      <w:bookmarkStart w:id="37" w:name="_Toc9171792"/>
      <w:r w:rsidRPr="00074369">
        <w:t xml:space="preserve">Tabla </w:t>
      </w:r>
      <w:r w:rsidRPr="00074369">
        <w:fldChar w:fldCharType="begin"/>
      </w:r>
      <w:r w:rsidRPr="00074369">
        <w:instrText xml:space="preserve"> SEQ Tabla \* ARABIC </w:instrText>
      </w:r>
      <w:r w:rsidRPr="00074369">
        <w:fldChar w:fldCharType="separate"/>
      </w:r>
      <w:r w:rsidR="004C0429">
        <w:rPr>
          <w:noProof/>
        </w:rPr>
        <w:t>1</w:t>
      </w:r>
      <w:r w:rsidRPr="00074369">
        <w:fldChar w:fldCharType="end"/>
      </w:r>
      <w:bookmarkEnd w:id="35"/>
      <w:r w:rsidRPr="00074369">
        <w:t>: Número de estaciones por razón social para Perú y Lima</w:t>
      </w:r>
      <w:bookmarkEnd w:id="36"/>
      <w:bookmarkEnd w:id="37"/>
    </w:p>
    <w:tbl>
      <w:tblPr>
        <w:tblStyle w:val="tesis"/>
        <w:tblW w:w="0" w:type="auto"/>
        <w:tblLook w:val="04A0" w:firstRow="1" w:lastRow="0" w:firstColumn="1" w:lastColumn="0" w:noHBand="0" w:noVBand="1"/>
      </w:tblPr>
      <w:tblGrid>
        <w:gridCol w:w="2694"/>
        <w:gridCol w:w="1133"/>
        <w:gridCol w:w="1133"/>
      </w:tblGrid>
      <w:tr w:rsidR="00F752E8" w:rsidRPr="00074369" w14:paraId="073A0007"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56868235" w14:textId="77777777" w:rsidR="00F752E8" w:rsidRPr="00074369" w:rsidRDefault="00F752E8" w:rsidP="00560D5E">
            <w:pPr>
              <w:spacing w:after="0" w:line="240" w:lineRule="auto"/>
            </w:pPr>
            <w:r w:rsidRPr="00074369">
              <w:t xml:space="preserve">Razón social </w:t>
            </w:r>
          </w:p>
        </w:tc>
        <w:tc>
          <w:tcPr>
            <w:tcW w:w="1133" w:type="dxa"/>
            <w:tcBorders>
              <w:bottom w:val="single" w:sz="6" w:space="0" w:color="auto"/>
            </w:tcBorders>
          </w:tcPr>
          <w:p w14:paraId="013E11E9" w14:textId="77777777" w:rsidR="00F752E8" w:rsidRPr="00074369" w:rsidRDefault="00F752E8" w:rsidP="00560D5E">
            <w:pPr>
              <w:spacing w:after="0" w:line="240" w:lineRule="auto"/>
              <w:jc w:val="right"/>
            </w:pPr>
            <w:r w:rsidRPr="00074369">
              <w:t>Perú</w:t>
            </w:r>
          </w:p>
        </w:tc>
        <w:tc>
          <w:tcPr>
            <w:tcW w:w="1133" w:type="dxa"/>
            <w:tcBorders>
              <w:bottom w:val="single" w:sz="6" w:space="0" w:color="auto"/>
            </w:tcBorders>
          </w:tcPr>
          <w:p w14:paraId="4541C547" w14:textId="77777777" w:rsidR="00F752E8" w:rsidRPr="00074369" w:rsidRDefault="00F752E8" w:rsidP="00560D5E">
            <w:pPr>
              <w:spacing w:after="0" w:line="240" w:lineRule="auto"/>
              <w:jc w:val="right"/>
            </w:pPr>
            <w:r w:rsidRPr="00074369">
              <w:t>Lima</w:t>
            </w:r>
          </w:p>
        </w:tc>
      </w:tr>
      <w:tr w:rsidR="00F752E8" w:rsidRPr="00074369" w14:paraId="23F5512D"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571FB334" w14:textId="77777777" w:rsidR="00F752E8" w:rsidRPr="00074369" w:rsidRDefault="00F752E8" w:rsidP="00560D5E">
            <w:pPr>
              <w:spacing w:after="0" w:line="240" w:lineRule="auto"/>
            </w:pPr>
            <w:r w:rsidRPr="00074369">
              <w:t>Repsol</w:t>
            </w:r>
          </w:p>
        </w:tc>
        <w:tc>
          <w:tcPr>
            <w:tcW w:w="1133" w:type="dxa"/>
            <w:tcBorders>
              <w:top w:val="single" w:sz="6" w:space="0" w:color="auto"/>
            </w:tcBorders>
          </w:tcPr>
          <w:p w14:paraId="762AC79A" w14:textId="77777777" w:rsidR="00F752E8" w:rsidRPr="00074369" w:rsidRDefault="00F752E8" w:rsidP="00560D5E">
            <w:pPr>
              <w:spacing w:after="0" w:line="240" w:lineRule="auto"/>
              <w:jc w:val="right"/>
            </w:pPr>
            <w:r w:rsidRPr="00074369">
              <w:t>101</w:t>
            </w:r>
          </w:p>
        </w:tc>
        <w:tc>
          <w:tcPr>
            <w:tcW w:w="1133" w:type="dxa"/>
            <w:tcBorders>
              <w:top w:val="single" w:sz="6" w:space="0" w:color="auto"/>
            </w:tcBorders>
          </w:tcPr>
          <w:p w14:paraId="6238467F" w14:textId="77777777" w:rsidR="00F752E8" w:rsidRPr="00074369" w:rsidRDefault="00F752E8" w:rsidP="00560D5E">
            <w:pPr>
              <w:spacing w:after="0" w:line="240" w:lineRule="auto"/>
              <w:jc w:val="right"/>
            </w:pPr>
            <w:r w:rsidRPr="00074369">
              <w:t>79</w:t>
            </w:r>
          </w:p>
        </w:tc>
      </w:tr>
      <w:tr w:rsidR="00F752E8" w:rsidRPr="00074369" w14:paraId="0515A5B5"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1537F96D" w14:textId="77777777" w:rsidR="00F752E8" w:rsidRPr="00074369" w:rsidRDefault="00F752E8" w:rsidP="00560D5E">
            <w:pPr>
              <w:spacing w:after="0" w:line="240" w:lineRule="auto"/>
            </w:pPr>
            <w:r w:rsidRPr="00074369">
              <w:t>Primax</w:t>
            </w:r>
          </w:p>
        </w:tc>
        <w:tc>
          <w:tcPr>
            <w:tcW w:w="1133" w:type="dxa"/>
          </w:tcPr>
          <w:p w14:paraId="1F68886A" w14:textId="77777777" w:rsidR="00F752E8" w:rsidRPr="00074369" w:rsidRDefault="00F752E8" w:rsidP="00560D5E">
            <w:pPr>
              <w:spacing w:after="0" w:line="240" w:lineRule="auto"/>
              <w:jc w:val="right"/>
            </w:pPr>
            <w:r w:rsidRPr="00074369">
              <w:t>145</w:t>
            </w:r>
          </w:p>
        </w:tc>
        <w:tc>
          <w:tcPr>
            <w:tcW w:w="1133" w:type="dxa"/>
          </w:tcPr>
          <w:p w14:paraId="08461EBB" w14:textId="77777777" w:rsidR="00F752E8" w:rsidRPr="00074369" w:rsidRDefault="00F752E8" w:rsidP="00560D5E">
            <w:pPr>
              <w:spacing w:after="0" w:line="240" w:lineRule="auto"/>
              <w:jc w:val="right"/>
            </w:pPr>
            <w:r w:rsidRPr="00074369">
              <w:t>50</w:t>
            </w:r>
          </w:p>
        </w:tc>
      </w:tr>
      <w:tr w:rsidR="00F752E8" w:rsidRPr="00074369" w14:paraId="20855D6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2A82C5F4" w14:textId="77777777" w:rsidR="00F752E8" w:rsidRPr="00074369" w:rsidRDefault="00F752E8" w:rsidP="00560D5E">
            <w:pPr>
              <w:spacing w:after="0" w:line="240" w:lineRule="auto"/>
            </w:pPr>
            <w:r w:rsidRPr="00074369">
              <w:t>Pecsa</w:t>
            </w:r>
          </w:p>
        </w:tc>
        <w:tc>
          <w:tcPr>
            <w:tcW w:w="1133" w:type="dxa"/>
          </w:tcPr>
          <w:p w14:paraId="75F0FA21" w14:textId="77777777" w:rsidR="00F752E8" w:rsidRPr="00074369" w:rsidRDefault="00F752E8" w:rsidP="00560D5E">
            <w:pPr>
              <w:spacing w:after="0" w:line="240" w:lineRule="auto"/>
              <w:jc w:val="right"/>
            </w:pPr>
            <w:r w:rsidRPr="00074369">
              <w:t>72</w:t>
            </w:r>
          </w:p>
        </w:tc>
        <w:tc>
          <w:tcPr>
            <w:tcW w:w="1133" w:type="dxa"/>
          </w:tcPr>
          <w:p w14:paraId="38B8B1AF" w14:textId="77777777" w:rsidR="00F752E8" w:rsidRPr="00074369" w:rsidRDefault="00F752E8" w:rsidP="00560D5E">
            <w:pPr>
              <w:spacing w:after="0" w:line="240" w:lineRule="auto"/>
              <w:jc w:val="right"/>
            </w:pPr>
            <w:r w:rsidRPr="00074369">
              <w:t>35</w:t>
            </w:r>
          </w:p>
        </w:tc>
      </w:tr>
      <w:tr w:rsidR="00F752E8" w:rsidRPr="00074369" w14:paraId="0021047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75D995B" w14:textId="77777777" w:rsidR="00F752E8" w:rsidRPr="00074369" w:rsidRDefault="00F752E8" w:rsidP="00560D5E">
            <w:pPr>
              <w:spacing w:after="0" w:line="240" w:lineRule="auto"/>
            </w:pPr>
            <w:r w:rsidRPr="00074369">
              <w:t>Otra razón social</w:t>
            </w:r>
          </w:p>
        </w:tc>
        <w:tc>
          <w:tcPr>
            <w:tcW w:w="1133" w:type="dxa"/>
            <w:tcBorders>
              <w:bottom w:val="single" w:sz="6" w:space="0" w:color="auto"/>
            </w:tcBorders>
          </w:tcPr>
          <w:p w14:paraId="1CD0F67A" w14:textId="77777777" w:rsidR="00F752E8" w:rsidRPr="00074369" w:rsidRDefault="00F752E8" w:rsidP="00560D5E">
            <w:pPr>
              <w:spacing w:after="0" w:line="240" w:lineRule="auto"/>
              <w:jc w:val="right"/>
            </w:pPr>
            <w:r w:rsidRPr="00074369">
              <w:t>4096</w:t>
            </w:r>
          </w:p>
        </w:tc>
        <w:tc>
          <w:tcPr>
            <w:tcW w:w="1133" w:type="dxa"/>
            <w:tcBorders>
              <w:bottom w:val="single" w:sz="6" w:space="0" w:color="auto"/>
            </w:tcBorders>
          </w:tcPr>
          <w:p w14:paraId="178C6590" w14:textId="77777777" w:rsidR="00F752E8" w:rsidRPr="00074369" w:rsidRDefault="00F752E8" w:rsidP="00560D5E">
            <w:pPr>
              <w:spacing w:after="0" w:line="240" w:lineRule="auto"/>
              <w:jc w:val="right"/>
            </w:pPr>
            <w:r w:rsidRPr="00074369">
              <w:t>604</w:t>
            </w:r>
          </w:p>
        </w:tc>
      </w:tr>
      <w:tr w:rsidR="00F752E8" w:rsidRPr="00074369" w14:paraId="79C31E60"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DB59AE2" w14:textId="77777777" w:rsidR="00F752E8" w:rsidRPr="00074369" w:rsidRDefault="00F752E8" w:rsidP="00560D5E">
            <w:pPr>
              <w:spacing w:after="0" w:line="240" w:lineRule="auto"/>
              <w:rPr>
                <w:b/>
              </w:rPr>
            </w:pPr>
            <w:r w:rsidRPr="00074369">
              <w:rPr>
                <w:b/>
              </w:rPr>
              <w:t>Total</w:t>
            </w:r>
          </w:p>
        </w:tc>
        <w:tc>
          <w:tcPr>
            <w:tcW w:w="1133" w:type="dxa"/>
            <w:tcBorders>
              <w:top w:val="single" w:sz="6" w:space="0" w:color="auto"/>
              <w:bottom w:val="single" w:sz="12" w:space="0" w:color="auto"/>
            </w:tcBorders>
          </w:tcPr>
          <w:p w14:paraId="0B038C6D" w14:textId="77777777" w:rsidR="00F752E8" w:rsidRPr="00074369" w:rsidRDefault="00F752E8" w:rsidP="00560D5E">
            <w:pPr>
              <w:spacing w:after="0" w:line="240" w:lineRule="auto"/>
              <w:jc w:val="right"/>
            </w:pPr>
            <w:r w:rsidRPr="00074369">
              <w:t>4414</w:t>
            </w:r>
          </w:p>
        </w:tc>
        <w:tc>
          <w:tcPr>
            <w:tcW w:w="1133" w:type="dxa"/>
            <w:tcBorders>
              <w:top w:val="single" w:sz="6" w:space="0" w:color="auto"/>
              <w:bottom w:val="single" w:sz="12" w:space="0" w:color="auto"/>
            </w:tcBorders>
          </w:tcPr>
          <w:p w14:paraId="222ED58C" w14:textId="77777777" w:rsidR="00F752E8" w:rsidRPr="00074369" w:rsidRDefault="00F752E8" w:rsidP="00560D5E">
            <w:pPr>
              <w:spacing w:after="0" w:line="240" w:lineRule="auto"/>
              <w:jc w:val="right"/>
            </w:pPr>
            <w:r w:rsidRPr="00074369">
              <w:t>768</w:t>
            </w:r>
          </w:p>
        </w:tc>
      </w:tr>
    </w:tbl>
    <w:p w14:paraId="4D7135F8" w14:textId="6DAAB952" w:rsidR="00F752E8" w:rsidRPr="00074369" w:rsidRDefault="00F752E8" w:rsidP="00F752E8">
      <w:pPr>
        <w:spacing w:before="120"/>
        <w:rPr>
          <w:sz w:val="18"/>
        </w:rPr>
      </w:pPr>
      <w:r w:rsidRPr="00074369">
        <w:rPr>
          <w:sz w:val="18"/>
        </w:rPr>
        <w:t xml:space="preserve">Fuente: Elaboración propia, 2019. </w:t>
      </w:r>
    </w:p>
    <w:p w14:paraId="49946537" w14:textId="05500CE6" w:rsidR="00B66247" w:rsidRPr="00074369" w:rsidRDefault="00B66247" w:rsidP="00B97460">
      <w:r w:rsidRPr="00074369">
        <w:t xml:space="preserve">En el país se venden </w:t>
      </w:r>
      <w:r w:rsidR="00054043" w:rsidRPr="00074369">
        <w:t xml:space="preserve">cuatro tipos de </w:t>
      </w:r>
      <w:proofErr w:type="spellStart"/>
      <w:r w:rsidR="00054043" w:rsidRPr="00074369">
        <w:t>gasoholes</w:t>
      </w:r>
      <w:proofErr w:type="spellEnd"/>
      <w:r w:rsidR="00054043" w:rsidRPr="00074369">
        <w:t xml:space="preserve"> (mezclas de gasolina con etanol), además de combustible diésel de bajo contenido de azufre (menor a 50 ppm). El mercado nacional ha evolucionado para consumir principalmente diésel, seguido por </w:t>
      </w:r>
      <w:proofErr w:type="spellStart"/>
      <w:r w:rsidR="00054043" w:rsidRPr="00074369">
        <w:t>gasohol</w:t>
      </w:r>
      <w:proofErr w:type="spellEnd"/>
      <w:r w:rsidR="00054043" w:rsidRPr="00074369">
        <w:t xml:space="preserve"> de 90 octanos, los que en conjunto representan el 80% de las ventas nacionales, como se puede apreciar en el </w:t>
      </w:r>
      <w:r w:rsidR="00054043" w:rsidRPr="00074369">
        <w:fldChar w:fldCharType="begin"/>
      </w:r>
      <w:r w:rsidR="00054043" w:rsidRPr="00074369">
        <w:instrText xml:space="preserve"> REF _Ref8480404 \h </w:instrText>
      </w:r>
      <w:r w:rsidR="00054043" w:rsidRPr="00074369">
        <w:fldChar w:fldCharType="separate"/>
      </w:r>
      <w:r w:rsidR="004C0429" w:rsidRPr="00074369">
        <w:t xml:space="preserve">Gráfico </w:t>
      </w:r>
      <w:r w:rsidR="004C0429">
        <w:rPr>
          <w:noProof/>
        </w:rPr>
        <w:t>3</w:t>
      </w:r>
      <w:r w:rsidR="00054043" w:rsidRPr="00074369">
        <w:fldChar w:fldCharType="end"/>
      </w:r>
      <w:r w:rsidR="00054043" w:rsidRPr="00074369">
        <w:t xml:space="preserve">. De igual manera, estos dos tipos de combustibles líquidos son </w:t>
      </w:r>
      <w:r w:rsidR="00FF4D92" w:rsidRPr="00074369">
        <w:t>vendidos</w:t>
      </w:r>
      <w:r w:rsidR="00054043" w:rsidRPr="00074369">
        <w:t xml:space="preserve"> en la mayor cantidad de establecimientos. </w:t>
      </w:r>
      <w:r w:rsidR="00FF4D92" w:rsidRPr="00074369">
        <w:t xml:space="preserve">A partir de los datos reportados por la herramienta Facilito de Osinergmin, se determina que en Lima todos los establecimientos venden </w:t>
      </w:r>
      <w:proofErr w:type="spellStart"/>
      <w:r w:rsidR="00FF4D92" w:rsidRPr="00074369">
        <w:t>gasohol</w:t>
      </w:r>
      <w:proofErr w:type="spellEnd"/>
      <w:r w:rsidR="00FF4D92" w:rsidRPr="00074369">
        <w:t xml:space="preserve"> 90 y diésel, alrededor de 90% venden </w:t>
      </w:r>
      <w:proofErr w:type="spellStart"/>
      <w:r w:rsidR="00FF4D92" w:rsidRPr="00074369">
        <w:t>gasohol</w:t>
      </w:r>
      <w:proofErr w:type="spellEnd"/>
      <w:r w:rsidR="00FF4D92" w:rsidRPr="00074369">
        <w:t xml:space="preserve"> 95, 50% venden </w:t>
      </w:r>
      <w:proofErr w:type="spellStart"/>
      <w:r w:rsidR="00FF4D92" w:rsidRPr="00074369">
        <w:t>gasohol</w:t>
      </w:r>
      <w:proofErr w:type="spellEnd"/>
      <w:r w:rsidR="00FF4D92" w:rsidRPr="00074369">
        <w:t xml:space="preserve"> 97, mientas que el </w:t>
      </w:r>
      <w:proofErr w:type="spellStart"/>
      <w:r w:rsidR="00FF4D92" w:rsidRPr="00074369">
        <w:t>gasohol</w:t>
      </w:r>
      <w:proofErr w:type="spellEnd"/>
      <w:r w:rsidR="00FF4D92" w:rsidRPr="00074369">
        <w:t xml:space="preserve"> 84 es cada vez menos consumido en Lima (solo 23% de las estaciones lo venden).</w:t>
      </w:r>
      <w:r w:rsidR="00054043" w:rsidRPr="00074369">
        <w:t xml:space="preserve"> </w:t>
      </w:r>
    </w:p>
    <w:p w14:paraId="7D906136" w14:textId="5B99E550" w:rsidR="00054043" w:rsidRPr="00074369" w:rsidRDefault="00054043" w:rsidP="00B97460">
      <w:pPr>
        <w:pStyle w:val="Descripcin"/>
      </w:pPr>
      <w:bookmarkStart w:id="38" w:name="_Ref8480404"/>
      <w:bookmarkStart w:id="39" w:name="_Toc9171807"/>
      <w:r w:rsidRPr="00074369">
        <w:lastRenderedPageBreak/>
        <w:t xml:space="preserve">Gráfico </w:t>
      </w:r>
      <w:r w:rsidR="001F1E13">
        <w:fldChar w:fldCharType="begin"/>
      </w:r>
      <w:r w:rsidR="001F1E13">
        <w:instrText xml:space="preserve"> SEQ Gráfico \* ARABIC </w:instrText>
      </w:r>
      <w:r w:rsidR="001F1E13">
        <w:fldChar w:fldCharType="separate"/>
      </w:r>
      <w:r w:rsidR="001F1E13">
        <w:rPr>
          <w:noProof/>
        </w:rPr>
        <w:t>2</w:t>
      </w:r>
      <w:r w:rsidR="001F1E13">
        <w:fldChar w:fldCharType="end"/>
      </w:r>
      <w:bookmarkEnd w:id="38"/>
      <w:r w:rsidRPr="00074369">
        <w:t>: Venta de combustibles por tipo de producto a nivel nacional (porcentajes)</w:t>
      </w:r>
      <w:bookmarkEnd w:id="39"/>
    </w:p>
    <w:p w14:paraId="18AC4092" w14:textId="0311C509" w:rsidR="00B66247" w:rsidRPr="00074369" w:rsidRDefault="00B66247" w:rsidP="00B97460">
      <w:pPr>
        <w:pStyle w:val="graficos"/>
        <w:rPr>
          <w:sz w:val="18"/>
          <w:lang w:val="es-PE"/>
        </w:rPr>
      </w:pPr>
      <w:r w:rsidRPr="00074369">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p>
    <w:p w14:paraId="5BC09248" w14:textId="6D0EBC7D" w:rsidR="00054043" w:rsidRPr="00074369" w:rsidRDefault="00054043" w:rsidP="00B97460">
      <w:pPr>
        <w:pStyle w:val="Fuente"/>
      </w:pPr>
      <w:r w:rsidRPr="00074369">
        <w:t>Fuente: Elaboración propia</w:t>
      </w:r>
      <w:r w:rsidR="00FF4D92" w:rsidRPr="00074369">
        <w:t xml:space="preserve"> a partir de los informes estadísticos del MINEM</w:t>
      </w:r>
      <w:r w:rsidRPr="00074369">
        <w:t>, 2019.</w:t>
      </w:r>
      <w:r w:rsidR="00FF4D92" w:rsidRPr="00074369">
        <w:t xml:space="preserve"> </w:t>
      </w:r>
    </w:p>
    <w:p w14:paraId="4462978F" w14:textId="2AD9BA85" w:rsidR="000B0CED" w:rsidRPr="00074369" w:rsidRDefault="000B0CED" w:rsidP="00AE7D0B">
      <w:r w:rsidRPr="00074369">
        <w:t xml:space="preserve">A nivel minorista, la mayoría de estaciones de marca son abanderadas, es decir, no </w:t>
      </w:r>
      <w:r w:rsidR="00180658" w:rsidRPr="00074369">
        <w:t xml:space="preserve">son propiedad directa de los mayoristas. Estas estaciones compiten </w:t>
      </w:r>
      <w:r w:rsidR="00105ABA" w:rsidRPr="00074369">
        <w:t xml:space="preserve">entre sí y </w:t>
      </w:r>
      <w:r w:rsidR="00180658" w:rsidRPr="00074369">
        <w:t>con estaciones independientes que generalmente cobran menores precios</w:t>
      </w:r>
      <w:r w:rsidR="004F75F4" w:rsidRPr="00074369">
        <w:t xml:space="preserve"> </w:t>
      </w:r>
      <w:r w:rsidR="00BE2AFD" w:rsidRPr="00074369">
        <w:t xml:space="preserve">(ver </w:t>
      </w:r>
      <w:r w:rsidR="00BE2AFD" w:rsidRPr="00074369">
        <w:fldChar w:fldCharType="begin"/>
      </w:r>
      <w:r w:rsidR="00BE2AFD" w:rsidRPr="00074369">
        <w:instrText xml:space="preserve"> REF _Ref6247871 \h  \* MERGEFORMAT </w:instrText>
      </w:r>
      <w:r w:rsidR="00BE2AFD" w:rsidRPr="00074369">
        <w:fldChar w:fldCharType="separate"/>
      </w:r>
      <w:r w:rsidR="004C0429" w:rsidRPr="004C0429">
        <w:rPr>
          <w:color w:val="000000" w:themeColor="text1"/>
        </w:rPr>
        <w:t xml:space="preserve">Gráfico </w:t>
      </w:r>
      <w:r w:rsidR="004C0429" w:rsidRPr="004C0429">
        <w:rPr>
          <w:noProof/>
          <w:color w:val="000000" w:themeColor="text1"/>
        </w:rPr>
        <w:t>4</w:t>
      </w:r>
      <w:r w:rsidR="00BE2AFD" w:rsidRPr="00074369">
        <w:fldChar w:fldCharType="end"/>
      </w:r>
      <w:r w:rsidR="004F75F4" w:rsidRPr="00074369">
        <w:t>)</w:t>
      </w:r>
      <w:r w:rsidR="00105ABA" w:rsidRPr="00074369">
        <w:t>, siendo estas últimas las de mayor presencia</w:t>
      </w:r>
      <w:r w:rsidR="00180658" w:rsidRPr="00074369">
        <w:t xml:space="preserve">. Repsol </w:t>
      </w:r>
      <w:r w:rsidR="007E6B94">
        <w:t xml:space="preserve">y Primax son los empresas </w:t>
      </w:r>
      <w:r w:rsidR="00105ABA" w:rsidRPr="00074369">
        <w:t xml:space="preserve">con </w:t>
      </w:r>
      <w:r w:rsidR="00180658" w:rsidRPr="00074369">
        <w:t>mayor partici</w:t>
      </w:r>
      <w:r w:rsidR="007E6B94">
        <w:t>pación en el mercado minorista</w:t>
      </w:r>
      <w:r w:rsidR="00180658" w:rsidRPr="00074369">
        <w:t xml:space="preserve"> </w:t>
      </w:r>
      <w:r w:rsidR="004F75F4" w:rsidRPr="00074369">
        <w:t xml:space="preserve">tal como se observa </w:t>
      </w:r>
      <w:r w:rsidR="00DB477C" w:rsidRPr="00074369">
        <w:t>en la</w:t>
      </w:r>
      <w:r w:rsidR="007E6B94">
        <w:t xml:space="preserve">s tablas </w:t>
      </w:r>
      <w:r w:rsidR="002819FF">
        <w:fldChar w:fldCharType="begin"/>
      </w:r>
      <w:r w:rsidR="002819FF">
        <w:instrText xml:space="preserve"> REF _Ref8911506 </w:instrText>
      </w:r>
      <w:r w:rsidR="002819FF" w:rsidRPr="002819FF">
        <w:instrText>\# 0</w:instrText>
      </w:r>
      <w:r w:rsidR="002819FF">
        <w:instrText xml:space="preserve"> \h </w:instrText>
      </w:r>
      <w:r w:rsidR="002819FF">
        <w:fldChar w:fldCharType="separate"/>
      </w:r>
      <w:r w:rsidR="004C0429">
        <w:t>1</w:t>
      </w:r>
      <w:r w:rsidR="002819FF">
        <w:fldChar w:fldCharType="end"/>
      </w:r>
      <w:r w:rsidR="002819FF">
        <w:t xml:space="preserve"> y </w:t>
      </w:r>
      <w:r w:rsidR="002819FF">
        <w:fldChar w:fldCharType="begin"/>
      </w:r>
      <w:r w:rsidR="002819FF">
        <w:instrText xml:space="preserve"> REF _Ref9171920 </w:instrText>
      </w:r>
      <w:r w:rsidR="002819FF" w:rsidRPr="002819FF">
        <w:instrText>\# 0</w:instrText>
      </w:r>
      <w:r w:rsidR="002819FF">
        <w:instrText xml:space="preserve"> \h </w:instrText>
      </w:r>
      <w:r w:rsidR="002819FF">
        <w:fldChar w:fldCharType="separate"/>
      </w:r>
      <w:r w:rsidR="004C0429">
        <w:t>2</w:t>
      </w:r>
      <w:r w:rsidR="002819FF">
        <w:fldChar w:fldCharType="end"/>
      </w:r>
      <w:r w:rsidR="007E6B94">
        <w:t xml:space="preserve"> </w:t>
      </w:r>
      <w:r w:rsidR="00105ABA" w:rsidRPr="00074369">
        <w:t xml:space="preserve">. </w:t>
      </w:r>
    </w:p>
    <w:p w14:paraId="5CAFF5B5" w14:textId="77777777" w:rsidR="00B66247" w:rsidRPr="00074369" w:rsidRDefault="00B66247" w:rsidP="00AE7D0B"/>
    <w:p w14:paraId="4F772C03" w14:textId="224343D0" w:rsidR="00BE2AFD" w:rsidRPr="00074369" w:rsidRDefault="00BE2AFD" w:rsidP="000D39DB">
      <w:pPr>
        <w:pStyle w:val="Descripcin"/>
        <w:spacing w:before="0"/>
      </w:pPr>
      <w:bookmarkStart w:id="40" w:name="_Ref6247871"/>
      <w:bookmarkStart w:id="41" w:name="_Toc6348820"/>
      <w:bookmarkStart w:id="42" w:name="_Toc9171808"/>
      <w:commentRangeStart w:id="43"/>
      <w:commentRangeStart w:id="44"/>
      <w:r w:rsidRPr="00074369">
        <w:lastRenderedPageBreak/>
        <w:t xml:space="preserve">Gráfico </w:t>
      </w:r>
      <w:r w:rsidR="001F1E13">
        <w:fldChar w:fldCharType="begin"/>
      </w:r>
      <w:r w:rsidR="001F1E13">
        <w:instrText xml:space="preserve"> SEQ Gráfico \* ARABIC </w:instrText>
      </w:r>
      <w:r w:rsidR="001F1E13">
        <w:fldChar w:fldCharType="separate"/>
      </w:r>
      <w:r w:rsidR="001F1E13">
        <w:rPr>
          <w:noProof/>
        </w:rPr>
        <w:t>3</w:t>
      </w:r>
      <w:r w:rsidR="001F1E13">
        <w:fldChar w:fldCharType="end"/>
      </w:r>
      <w:bookmarkEnd w:id="40"/>
      <w:r w:rsidRPr="00074369">
        <w:t>: Precios promedio por tipo de estación para Diésel y Gasolina de 90 octanos</w:t>
      </w:r>
      <w:bookmarkEnd w:id="41"/>
      <w:commentRangeEnd w:id="43"/>
      <w:r w:rsidR="00AE1C91" w:rsidRPr="00074369">
        <w:rPr>
          <w:rStyle w:val="Refdecomentario"/>
          <w:iCs w:val="0"/>
        </w:rPr>
        <w:commentReference w:id="43"/>
      </w:r>
      <w:commentRangeEnd w:id="44"/>
      <w:r w:rsidR="003E3DE7" w:rsidRPr="00074369">
        <w:rPr>
          <w:rStyle w:val="Refdecomentario"/>
          <w:iCs w:val="0"/>
        </w:rPr>
        <w:commentReference w:id="44"/>
      </w:r>
      <w:bookmarkEnd w:id="42"/>
    </w:p>
    <w:p w14:paraId="23572FEB" w14:textId="0F311094" w:rsidR="00BE2AFD" w:rsidRPr="00074369" w:rsidRDefault="003E3DE7" w:rsidP="00BE2AFD">
      <w:pPr>
        <w:spacing w:after="0"/>
        <w:jc w:val="center"/>
      </w:pPr>
      <w:r w:rsidRPr="00074369">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p>
    <w:p w14:paraId="4645D53B" w14:textId="60C64D1B" w:rsidR="00DB477C" w:rsidRPr="00074369" w:rsidRDefault="00BE2AFD" w:rsidP="00EE678A">
      <w:pPr>
        <w:spacing w:after="360"/>
        <w:rPr>
          <w:sz w:val="18"/>
        </w:rPr>
      </w:pPr>
      <w:r w:rsidRPr="00074369">
        <w:rPr>
          <w:sz w:val="18"/>
        </w:rPr>
        <w:t>Fuente: Elaboración propia, 2019</w:t>
      </w:r>
      <w:bookmarkStart w:id="45" w:name="_Ref6249562"/>
    </w:p>
    <w:p w14:paraId="71893CF1" w14:textId="50A92478" w:rsidR="00EE678A" w:rsidRPr="00074369" w:rsidRDefault="00EE678A" w:rsidP="00EE678A">
      <w:pPr>
        <w:pStyle w:val="Descripcin"/>
        <w:spacing w:before="120"/>
      </w:pPr>
      <w:bookmarkStart w:id="46" w:name="_Ref9171920"/>
      <w:bookmarkStart w:id="47" w:name="_Toc9171793"/>
      <w:bookmarkEnd w:id="45"/>
      <w:r w:rsidRPr="00074369">
        <w:t xml:space="preserve">Tabla </w:t>
      </w:r>
      <w:r w:rsidRPr="00074369">
        <w:rPr>
          <w:iCs w:val="0"/>
        </w:rPr>
        <w:fldChar w:fldCharType="begin"/>
      </w:r>
      <w:r w:rsidRPr="00074369">
        <w:instrText xml:space="preserve"> SEQ Tabla \* ARABIC </w:instrText>
      </w:r>
      <w:r w:rsidRPr="00074369">
        <w:rPr>
          <w:iCs w:val="0"/>
        </w:rPr>
        <w:fldChar w:fldCharType="separate"/>
      </w:r>
      <w:r w:rsidR="004C0429">
        <w:rPr>
          <w:noProof/>
        </w:rPr>
        <w:t>2</w:t>
      </w:r>
      <w:r w:rsidRPr="00074369">
        <w:rPr>
          <w:iCs w:val="0"/>
        </w:rPr>
        <w:fldChar w:fldCharType="end"/>
      </w:r>
      <w:bookmarkEnd w:id="46"/>
      <w:r w:rsidRPr="00074369">
        <w:t>: Número de estaciones propias, abanderadas e independientes por marca visible para una muestra de distritos de Lima Metropolitana</w:t>
      </w:r>
      <w:r w:rsidRPr="00074369">
        <w:rPr>
          <w:rStyle w:val="Refdenotaalpie"/>
        </w:rPr>
        <w:footnoteReference w:id="3"/>
      </w:r>
      <w:bookmarkEnd w:id="47"/>
    </w:p>
    <w:tbl>
      <w:tblPr>
        <w:tblStyle w:val="tesis"/>
        <w:tblW w:w="0" w:type="auto"/>
        <w:tblLook w:val="04A0" w:firstRow="1" w:lastRow="0" w:firstColumn="1" w:lastColumn="0" w:noHBand="0" w:noVBand="1"/>
      </w:tblPr>
      <w:tblGrid>
        <w:gridCol w:w="2694"/>
        <w:gridCol w:w="1133"/>
        <w:gridCol w:w="1279"/>
        <w:gridCol w:w="1463"/>
        <w:gridCol w:w="1228"/>
      </w:tblGrid>
      <w:tr w:rsidR="00EE678A" w:rsidRPr="00074369" w14:paraId="23BD31DC"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8F3ED33" w14:textId="77777777" w:rsidR="00EE678A" w:rsidRPr="00074369" w:rsidRDefault="00EE678A" w:rsidP="001067DF">
            <w:pPr>
              <w:spacing w:after="0" w:line="240" w:lineRule="auto"/>
            </w:pPr>
            <w:r w:rsidRPr="00074369">
              <w:t>Marca | Tipo de estación</w:t>
            </w:r>
          </w:p>
        </w:tc>
        <w:tc>
          <w:tcPr>
            <w:tcW w:w="1133" w:type="dxa"/>
            <w:tcBorders>
              <w:bottom w:val="single" w:sz="6" w:space="0" w:color="auto"/>
            </w:tcBorders>
          </w:tcPr>
          <w:p w14:paraId="00DF9CEA" w14:textId="77777777" w:rsidR="00EE678A" w:rsidRPr="00074369" w:rsidRDefault="00EE678A" w:rsidP="001067DF">
            <w:pPr>
              <w:spacing w:after="0" w:line="240" w:lineRule="auto"/>
              <w:jc w:val="right"/>
            </w:pPr>
            <w:r w:rsidRPr="00074369">
              <w:t>Propia</w:t>
            </w:r>
          </w:p>
        </w:tc>
        <w:tc>
          <w:tcPr>
            <w:tcW w:w="1279" w:type="dxa"/>
            <w:tcBorders>
              <w:bottom w:val="single" w:sz="6" w:space="0" w:color="auto"/>
            </w:tcBorders>
          </w:tcPr>
          <w:p w14:paraId="1D937941" w14:textId="77777777" w:rsidR="00EE678A" w:rsidRPr="00074369" w:rsidRDefault="00EE678A" w:rsidP="001067DF">
            <w:pPr>
              <w:spacing w:after="0" w:line="240" w:lineRule="auto"/>
            </w:pPr>
            <w:r w:rsidRPr="00074369">
              <w:t>Abanderada</w:t>
            </w:r>
          </w:p>
        </w:tc>
        <w:tc>
          <w:tcPr>
            <w:tcW w:w="1463" w:type="dxa"/>
            <w:tcBorders>
              <w:bottom w:val="single" w:sz="6" w:space="0" w:color="auto"/>
            </w:tcBorders>
          </w:tcPr>
          <w:p w14:paraId="3D9F6797" w14:textId="77777777" w:rsidR="00EE678A" w:rsidRPr="00074369" w:rsidRDefault="00EE678A" w:rsidP="001067DF">
            <w:pPr>
              <w:spacing w:after="0" w:line="240" w:lineRule="auto"/>
              <w:jc w:val="right"/>
            </w:pPr>
            <w:r w:rsidRPr="00074369">
              <w:t>Independiente</w:t>
            </w:r>
          </w:p>
        </w:tc>
        <w:tc>
          <w:tcPr>
            <w:tcW w:w="1228" w:type="dxa"/>
            <w:tcBorders>
              <w:bottom w:val="single" w:sz="6" w:space="0" w:color="auto"/>
            </w:tcBorders>
          </w:tcPr>
          <w:p w14:paraId="2755DAF2" w14:textId="77777777" w:rsidR="00EE678A" w:rsidRPr="00074369" w:rsidRDefault="00EE678A" w:rsidP="001067DF">
            <w:pPr>
              <w:spacing w:after="0" w:line="240" w:lineRule="auto"/>
              <w:jc w:val="right"/>
              <w:rPr>
                <w:b/>
              </w:rPr>
            </w:pPr>
            <w:r w:rsidRPr="00074369">
              <w:rPr>
                <w:b/>
              </w:rPr>
              <w:t>Total</w:t>
            </w:r>
          </w:p>
        </w:tc>
      </w:tr>
      <w:tr w:rsidR="00EE678A" w:rsidRPr="00074369" w14:paraId="600A2477"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2C2E8463" w14:textId="77777777" w:rsidR="00EE678A" w:rsidRPr="00074369" w:rsidRDefault="00EE678A" w:rsidP="001067DF">
            <w:pPr>
              <w:spacing w:after="0" w:line="240" w:lineRule="auto"/>
            </w:pPr>
            <w:r w:rsidRPr="00074369">
              <w:t>Repsol</w:t>
            </w:r>
          </w:p>
        </w:tc>
        <w:tc>
          <w:tcPr>
            <w:tcW w:w="1133" w:type="dxa"/>
            <w:tcBorders>
              <w:top w:val="single" w:sz="6" w:space="0" w:color="auto"/>
            </w:tcBorders>
          </w:tcPr>
          <w:p w14:paraId="0F999E0A" w14:textId="77777777" w:rsidR="00EE678A" w:rsidRPr="00074369" w:rsidRDefault="00EE678A" w:rsidP="001067DF">
            <w:pPr>
              <w:spacing w:after="0" w:line="240" w:lineRule="auto"/>
              <w:jc w:val="right"/>
            </w:pPr>
            <w:r w:rsidRPr="00074369">
              <w:t>72</w:t>
            </w:r>
          </w:p>
        </w:tc>
        <w:tc>
          <w:tcPr>
            <w:tcW w:w="1279" w:type="dxa"/>
            <w:tcBorders>
              <w:top w:val="single" w:sz="6" w:space="0" w:color="auto"/>
            </w:tcBorders>
          </w:tcPr>
          <w:p w14:paraId="13509178" w14:textId="77777777" w:rsidR="00EE678A" w:rsidRPr="00074369" w:rsidRDefault="00EE678A" w:rsidP="001067DF">
            <w:pPr>
              <w:spacing w:after="0" w:line="240" w:lineRule="auto"/>
              <w:jc w:val="right"/>
            </w:pPr>
            <w:r w:rsidRPr="00074369">
              <w:t>52</w:t>
            </w:r>
          </w:p>
        </w:tc>
        <w:tc>
          <w:tcPr>
            <w:tcW w:w="1463" w:type="dxa"/>
            <w:tcBorders>
              <w:top w:val="single" w:sz="6" w:space="0" w:color="auto"/>
            </w:tcBorders>
          </w:tcPr>
          <w:p w14:paraId="14E9660A" w14:textId="77777777" w:rsidR="00EE678A" w:rsidRPr="00074369" w:rsidRDefault="00EE678A" w:rsidP="001067DF">
            <w:pPr>
              <w:spacing w:after="0" w:line="240" w:lineRule="auto"/>
              <w:jc w:val="right"/>
            </w:pPr>
            <w:r w:rsidRPr="00074369">
              <w:t>-</w:t>
            </w:r>
          </w:p>
        </w:tc>
        <w:tc>
          <w:tcPr>
            <w:tcW w:w="1228" w:type="dxa"/>
            <w:tcBorders>
              <w:top w:val="single" w:sz="6" w:space="0" w:color="auto"/>
            </w:tcBorders>
          </w:tcPr>
          <w:p w14:paraId="58FC3F02" w14:textId="77777777" w:rsidR="00EE678A" w:rsidRPr="00074369" w:rsidRDefault="00EE678A" w:rsidP="001067DF">
            <w:pPr>
              <w:spacing w:after="0" w:line="240" w:lineRule="auto"/>
              <w:jc w:val="right"/>
            </w:pPr>
            <w:r w:rsidRPr="00074369">
              <w:t>124</w:t>
            </w:r>
          </w:p>
        </w:tc>
      </w:tr>
      <w:tr w:rsidR="00EE678A" w:rsidRPr="00074369" w14:paraId="07D1A9F1"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0025C2ED" w14:textId="77777777" w:rsidR="00EE678A" w:rsidRPr="00074369" w:rsidRDefault="00EE678A" w:rsidP="001067DF">
            <w:pPr>
              <w:spacing w:after="0" w:line="240" w:lineRule="auto"/>
            </w:pPr>
            <w:r w:rsidRPr="00074369">
              <w:t>Primax</w:t>
            </w:r>
          </w:p>
        </w:tc>
        <w:tc>
          <w:tcPr>
            <w:tcW w:w="1133" w:type="dxa"/>
          </w:tcPr>
          <w:p w14:paraId="43B39B78" w14:textId="77777777" w:rsidR="00EE678A" w:rsidRPr="00074369" w:rsidRDefault="00EE678A" w:rsidP="001067DF">
            <w:pPr>
              <w:spacing w:after="0" w:line="240" w:lineRule="auto"/>
              <w:jc w:val="right"/>
            </w:pPr>
            <w:r w:rsidRPr="00074369">
              <w:t>41</w:t>
            </w:r>
          </w:p>
        </w:tc>
        <w:tc>
          <w:tcPr>
            <w:tcW w:w="1279" w:type="dxa"/>
          </w:tcPr>
          <w:p w14:paraId="5C602C3A" w14:textId="77777777" w:rsidR="00EE678A" w:rsidRPr="00074369" w:rsidRDefault="00EE678A" w:rsidP="001067DF">
            <w:pPr>
              <w:spacing w:after="0" w:line="240" w:lineRule="auto"/>
              <w:jc w:val="right"/>
            </w:pPr>
            <w:r w:rsidRPr="00074369">
              <w:t>73</w:t>
            </w:r>
          </w:p>
        </w:tc>
        <w:tc>
          <w:tcPr>
            <w:tcW w:w="1463" w:type="dxa"/>
          </w:tcPr>
          <w:p w14:paraId="708D88EE" w14:textId="77777777" w:rsidR="00EE678A" w:rsidRPr="00074369" w:rsidRDefault="00EE678A" w:rsidP="001067DF">
            <w:pPr>
              <w:spacing w:after="0" w:line="240" w:lineRule="auto"/>
              <w:jc w:val="right"/>
            </w:pPr>
            <w:r w:rsidRPr="00074369">
              <w:t>-</w:t>
            </w:r>
          </w:p>
        </w:tc>
        <w:tc>
          <w:tcPr>
            <w:tcW w:w="1228" w:type="dxa"/>
          </w:tcPr>
          <w:p w14:paraId="00CB06D4" w14:textId="77777777" w:rsidR="00EE678A" w:rsidRPr="00074369" w:rsidRDefault="00EE678A" w:rsidP="001067DF">
            <w:pPr>
              <w:spacing w:after="0" w:line="240" w:lineRule="auto"/>
              <w:jc w:val="right"/>
            </w:pPr>
            <w:r w:rsidRPr="00074369">
              <w:t>114</w:t>
            </w:r>
          </w:p>
        </w:tc>
      </w:tr>
      <w:tr w:rsidR="00EE678A" w:rsidRPr="00074369" w14:paraId="0E1136D9"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11713B80" w14:textId="77777777" w:rsidR="00EE678A" w:rsidRPr="00074369" w:rsidRDefault="00EE678A" w:rsidP="001067DF">
            <w:pPr>
              <w:spacing w:after="0" w:line="240" w:lineRule="auto"/>
            </w:pPr>
            <w:r w:rsidRPr="00074369">
              <w:t>Pecsa</w:t>
            </w:r>
          </w:p>
        </w:tc>
        <w:tc>
          <w:tcPr>
            <w:tcW w:w="1133" w:type="dxa"/>
          </w:tcPr>
          <w:p w14:paraId="40045E47" w14:textId="77777777" w:rsidR="00EE678A" w:rsidRPr="00074369" w:rsidRDefault="00EE678A" w:rsidP="001067DF">
            <w:pPr>
              <w:spacing w:after="0" w:line="240" w:lineRule="auto"/>
              <w:jc w:val="right"/>
            </w:pPr>
            <w:r w:rsidRPr="00074369">
              <w:t>28</w:t>
            </w:r>
          </w:p>
        </w:tc>
        <w:tc>
          <w:tcPr>
            <w:tcW w:w="1279" w:type="dxa"/>
          </w:tcPr>
          <w:p w14:paraId="02A1918A" w14:textId="77777777" w:rsidR="00EE678A" w:rsidRPr="00074369" w:rsidRDefault="00EE678A" w:rsidP="001067DF">
            <w:pPr>
              <w:spacing w:after="0" w:line="240" w:lineRule="auto"/>
              <w:jc w:val="right"/>
            </w:pPr>
            <w:r w:rsidRPr="00074369">
              <w:t>30</w:t>
            </w:r>
          </w:p>
        </w:tc>
        <w:tc>
          <w:tcPr>
            <w:tcW w:w="1463" w:type="dxa"/>
          </w:tcPr>
          <w:p w14:paraId="0B591EB9" w14:textId="77777777" w:rsidR="00EE678A" w:rsidRPr="00074369" w:rsidRDefault="00EE678A" w:rsidP="001067DF">
            <w:pPr>
              <w:spacing w:after="0" w:line="240" w:lineRule="auto"/>
              <w:jc w:val="right"/>
            </w:pPr>
            <w:r w:rsidRPr="00074369">
              <w:t>-</w:t>
            </w:r>
          </w:p>
        </w:tc>
        <w:tc>
          <w:tcPr>
            <w:tcW w:w="1228" w:type="dxa"/>
          </w:tcPr>
          <w:p w14:paraId="74FC4C8A" w14:textId="77777777" w:rsidR="00EE678A" w:rsidRPr="00074369" w:rsidRDefault="00EE678A" w:rsidP="001067DF">
            <w:pPr>
              <w:spacing w:after="0" w:line="240" w:lineRule="auto"/>
              <w:jc w:val="right"/>
            </w:pPr>
            <w:r w:rsidRPr="00074369">
              <w:t>58</w:t>
            </w:r>
          </w:p>
        </w:tc>
      </w:tr>
      <w:tr w:rsidR="00EE678A" w:rsidRPr="00074369" w14:paraId="3B61544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4571DC9A" w14:textId="77777777" w:rsidR="00EE678A" w:rsidRPr="00074369" w:rsidRDefault="00EE678A" w:rsidP="001067DF">
            <w:pPr>
              <w:spacing w:after="0" w:line="240" w:lineRule="auto"/>
            </w:pPr>
            <w:r w:rsidRPr="00074369">
              <w:t>Petroperú</w:t>
            </w:r>
          </w:p>
        </w:tc>
        <w:tc>
          <w:tcPr>
            <w:tcW w:w="1133" w:type="dxa"/>
          </w:tcPr>
          <w:p w14:paraId="3C28DB82" w14:textId="77777777" w:rsidR="00EE678A" w:rsidRPr="00074369" w:rsidRDefault="00EE678A" w:rsidP="001067DF">
            <w:pPr>
              <w:spacing w:after="0" w:line="240" w:lineRule="auto"/>
              <w:jc w:val="right"/>
            </w:pPr>
            <w:r w:rsidRPr="00074369">
              <w:t>0</w:t>
            </w:r>
          </w:p>
        </w:tc>
        <w:tc>
          <w:tcPr>
            <w:tcW w:w="1279" w:type="dxa"/>
          </w:tcPr>
          <w:p w14:paraId="0679E2B9" w14:textId="77777777" w:rsidR="00EE678A" w:rsidRPr="00074369" w:rsidRDefault="00EE678A" w:rsidP="001067DF">
            <w:pPr>
              <w:spacing w:after="0" w:line="240" w:lineRule="auto"/>
              <w:jc w:val="right"/>
            </w:pPr>
            <w:r w:rsidRPr="00074369">
              <w:t>42</w:t>
            </w:r>
          </w:p>
        </w:tc>
        <w:tc>
          <w:tcPr>
            <w:tcW w:w="1463" w:type="dxa"/>
          </w:tcPr>
          <w:p w14:paraId="0CFB742E" w14:textId="77777777" w:rsidR="00EE678A" w:rsidRPr="00074369" w:rsidRDefault="00EE678A" w:rsidP="001067DF">
            <w:pPr>
              <w:spacing w:after="0" w:line="240" w:lineRule="auto"/>
              <w:jc w:val="right"/>
            </w:pPr>
            <w:r w:rsidRPr="00074369">
              <w:t>-</w:t>
            </w:r>
          </w:p>
        </w:tc>
        <w:tc>
          <w:tcPr>
            <w:tcW w:w="1228" w:type="dxa"/>
          </w:tcPr>
          <w:p w14:paraId="25A4B931" w14:textId="77777777" w:rsidR="00EE678A" w:rsidRPr="00074369" w:rsidRDefault="00EE678A" w:rsidP="001067DF">
            <w:pPr>
              <w:spacing w:after="0" w:line="240" w:lineRule="auto"/>
              <w:jc w:val="right"/>
            </w:pPr>
            <w:r w:rsidRPr="00074369">
              <w:t>42</w:t>
            </w:r>
          </w:p>
        </w:tc>
      </w:tr>
      <w:tr w:rsidR="00EE678A" w:rsidRPr="00074369" w14:paraId="5413687E"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1FEB32F0" w14:textId="77777777" w:rsidR="00EE678A" w:rsidRPr="00074369" w:rsidRDefault="00EE678A" w:rsidP="001067DF">
            <w:pPr>
              <w:spacing w:after="0" w:line="240" w:lineRule="auto"/>
            </w:pPr>
            <w:r w:rsidRPr="00074369">
              <w:t>Sin Marca</w:t>
            </w:r>
          </w:p>
        </w:tc>
        <w:tc>
          <w:tcPr>
            <w:tcW w:w="1133" w:type="dxa"/>
            <w:tcBorders>
              <w:bottom w:val="single" w:sz="6" w:space="0" w:color="auto"/>
            </w:tcBorders>
          </w:tcPr>
          <w:p w14:paraId="1D0DE06E" w14:textId="77777777" w:rsidR="00EE678A" w:rsidRPr="00074369" w:rsidRDefault="00EE678A" w:rsidP="001067DF">
            <w:pPr>
              <w:spacing w:after="0" w:line="240" w:lineRule="auto"/>
              <w:jc w:val="right"/>
            </w:pPr>
            <w:r w:rsidRPr="00074369">
              <w:t>-</w:t>
            </w:r>
          </w:p>
        </w:tc>
        <w:tc>
          <w:tcPr>
            <w:tcW w:w="1279" w:type="dxa"/>
            <w:tcBorders>
              <w:bottom w:val="single" w:sz="6" w:space="0" w:color="auto"/>
            </w:tcBorders>
          </w:tcPr>
          <w:p w14:paraId="38679B20" w14:textId="77777777" w:rsidR="00EE678A" w:rsidRPr="00074369" w:rsidRDefault="00EE678A" w:rsidP="001067DF">
            <w:pPr>
              <w:spacing w:after="0" w:line="240" w:lineRule="auto"/>
              <w:jc w:val="right"/>
            </w:pPr>
            <w:r w:rsidRPr="00074369">
              <w:t>-</w:t>
            </w:r>
          </w:p>
        </w:tc>
        <w:tc>
          <w:tcPr>
            <w:tcW w:w="1463" w:type="dxa"/>
            <w:tcBorders>
              <w:bottom w:val="single" w:sz="6" w:space="0" w:color="auto"/>
            </w:tcBorders>
          </w:tcPr>
          <w:p w14:paraId="79B6F92E" w14:textId="77777777" w:rsidR="00EE678A" w:rsidRPr="00074369" w:rsidRDefault="00EE678A" w:rsidP="001067DF">
            <w:pPr>
              <w:spacing w:after="0" w:line="240" w:lineRule="auto"/>
              <w:jc w:val="right"/>
            </w:pPr>
            <w:r w:rsidRPr="00074369">
              <w:t>99</w:t>
            </w:r>
          </w:p>
        </w:tc>
        <w:tc>
          <w:tcPr>
            <w:tcW w:w="1228" w:type="dxa"/>
            <w:tcBorders>
              <w:bottom w:val="single" w:sz="6" w:space="0" w:color="auto"/>
            </w:tcBorders>
          </w:tcPr>
          <w:p w14:paraId="7B8262C0" w14:textId="77777777" w:rsidR="00EE678A" w:rsidRPr="00074369" w:rsidRDefault="00EE678A" w:rsidP="001067DF">
            <w:pPr>
              <w:spacing w:after="0" w:line="240" w:lineRule="auto"/>
              <w:jc w:val="right"/>
            </w:pPr>
            <w:r w:rsidRPr="00074369">
              <w:t>99</w:t>
            </w:r>
          </w:p>
        </w:tc>
      </w:tr>
      <w:tr w:rsidR="00EE678A" w:rsidRPr="00074369" w14:paraId="01157B9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79C96A6" w14:textId="77777777" w:rsidR="00EE678A" w:rsidRPr="00074369" w:rsidRDefault="00EE678A" w:rsidP="001067DF">
            <w:pPr>
              <w:spacing w:after="0" w:line="240" w:lineRule="auto"/>
              <w:rPr>
                <w:b/>
              </w:rPr>
            </w:pPr>
            <w:r w:rsidRPr="00074369">
              <w:rPr>
                <w:b/>
              </w:rPr>
              <w:t>Total</w:t>
            </w:r>
          </w:p>
        </w:tc>
        <w:tc>
          <w:tcPr>
            <w:tcW w:w="1133" w:type="dxa"/>
            <w:tcBorders>
              <w:top w:val="single" w:sz="6" w:space="0" w:color="auto"/>
              <w:bottom w:val="single" w:sz="12" w:space="0" w:color="auto"/>
            </w:tcBorders>
          </w:tcPr>
          <w:p w14:paraId="1D4C0EDC" w14:textId="77777777" w:rsidR="00EE678A" w:rsidRPr="00074369" w:rsidRDefault="00EE678A" w:rsidP="001067DF">
            <w:pPr>
              <w:spacing w:after="0" w:line="240" w:lineRule="auto"/>
              <w:jc w:val="right"/>
            </w:pPr>
            <w:r w:rsidRPr="00074369">
              <w:t>141</w:t>
            </w:r>
          </w:p>
        </w:tc>
        <w:tc>
          <w:tcPr>
            <w:tcW w:w="1279" w:type="dxa"/>
            <w:tcBorders>
              <w:top w:val="single" w:sz="6" w:space="0" w:color="auto"/>
              <w:bottom w:val="single" w:sz="12" w:space="0" w:color="auto"/>
            </w:tcBorders>
          </w:tcPr>
          <w:p w14:paraId="09E2DC60" w14:textId="77777777" w:rsidR="00EE678A" w:rsidRPr="00074369" w:rsidRDefault="00EE678A" w:rsidP="001067DF">
            <w:pPr>
              <w:spacing w:after="0" w:line="240" w:lineRule="auto"/>
              <w:jc w:val="right"/>
            </w:pPr>
            <w:r w:rsidRPr="00074369">
              <w:t>197</w:t>
            </w:r>
          </w:p>
        </w:tc>
        <w:tc>
          <w:tcPr>
            <w:tcW w:w="1463" w:type="dxa"/>
            <w:tcBorders>
              <w:top w:val="single" w:sz="6" w:space="0" w:color="auto"/>
              <w:bottom w:val="single" w:sz="12" w:space="0" w:color="auto"/>
            </w:tcBorders>
          </w:tcPr>
          <w:p w14:paraId="5F2D092B" w14:textId="77777777" w:rsidR="00EE678A" w:rsidRPr="00074369" w:rsidRDefault="00EE678A" w:rsidP="001067DF">
            <w:pPr>
              <w:spacing w:after="0" w:line="240" w:lineRule="auto"/>
              <w:jc w:val="right"/>
            </w:pPr>
            <w:r w:rsidRPr="00074369">
              <w:t>99</w:t>
            </w:r>
          </w:p>
        </w:tc>
        <w:tc>
          <w:tcPr>
            <w:tcW w:w="1228" w:type="dxa"/>
            <w:tcBorders>
              <w:top w:val="single" w:sz="6" w:space="0" w:color="auto"/>
              <w:bottom w:val="single" w:sz="12" w:space="0" w:color="auto"/>
            </w:tcBorders>
          </w:tcPr>
          <w:p w14:paraId="5DC59C99" w14:textId="77777777" w:rsidR="00EE678A" w:rsidRPr="00074369" w:rsidRDefault="00EE678A" w:rsidP="001067DF">
            <w:pPr>
              <w:spacing w:after="0" w:line="240" w:lineRule="auto"/>
              <w:jc w:val="right"/>
            </w:pPr>
            <w:r w:rsidRPr="00074369">
              <w:t>437</w:t>
            </w:r>
          </w:p>
        </w:tc>
      </w:tr>
    </w:tbl>
    <w:p w14:paraId="7C55E4D2" w14:textId="5EAAB79B" w:rsidR="00EE678A" w:rsidRDefault="00EE678A" w:rsidP="00EE678A">
      <w:pPr>
        <w:pStyle w:val="Fuente"/>
      </w:pPr>
      <w:r w:rsidRPr="00074369">
        <w:t xml:space="preserve">Fuente: Elaboración </w:t>
      </w:r>
      <w:r>
        <w:t xml:space="preserve">propia, 2019. </w:t>
      </w:r>
    </w:p>
    <w:p w14:paraId="30CC64AC" w14:textId="582E38F6" w:rsidR="002819FF" w:rsidRPr="00074369" w:rsidRDefault="002819FF" w:rsidP="002819FF">
      <w:r w:rsidRPr="00074369">
        <w:t xml:space="preserve">En febrero de 2018, se concretó la venta de Pecsa a Primax. La venta abarcó las 69 estaciones que operadas directamente por Pecsa y los contratos de abastecimiento a 348 estaciones abanderadas. Por una estrategia de atención a públicos distintos, la dirección de Primax indicó que se mantendría la marca Pecsa </w:t>
      </w:r>
      <w:r w:rsidRPr="00074369">
        <w:fldChar w:fldCharType="begin"/>
      </w:r>
      <w:r w:rsidR="006F6D84">
        <w:instrText xml:space="preserve"> ADDIN ZOTERO_ITEM CSL_CITATION {"citationID":"kQCn4tQc","properties":{"formattedCitation":"(La Rosa, 2018)","plainCitation":"(La Rosa, 2018)","noteIndex":0},"citationItems":[{"id":629,"uris":["http://zotero.org/groups/2269288/items/BQB27I6Z"],"uri":["http://zotero.org/groups/2269288/items/BQB27I6Z"],"itemData":{"id":629,"type":"article-newspaper","container-title":"Semana Económica","event-place":"Lima","note":"Citation Key: larosaPrimaxEstrategiaTras2018","publisher-place":"Lima","section":"Energía","title":"Primax: la estrategia tras la adquisición de Pecsa","URL":"http://semanaeconomica.com/article/sectores-y-empresas/energia/267687-primax-la-estrategia-tras-la-adquisicion-de-pecsa/","author":[{"family":"La Rosa","given":"Lucia"}],"issued":{"date-parts":[["2018",2,19]]}}}],"schema":"https://github.com/citation-style-language/schema/raw/master/csl-citation.json"} </w:instrText>
      </w:r>
      <w:r w:rsidRPr="00074369">
        <w:fldChar w:fldCharType="separate"/>
      </w:r>
      <w:r w:rsidR="00355C59" w:rsidRPr="00355C59">
        <w:rPr>
          <w:rFonts w:ascii="Times New Roman" w:hAnsi="Times New Roman"/>
        </w:rPr>
        <w:t>(La Rosa, 2018)</w:t>
      </w:r>
      <w:r w:rsidRPr="00074369">
        <w:fldChar w:fldCharType="end"/>
      </w:r>
      <w:r w:rsidRPr="00074369">
        <w:t xml:space="preserve">. De esta manera, Primax se convirtió en el principal </w:t>
      </w:r>
      <w:r w:rsidRPr="00074369">
        <w:lastRenderedPageBreak/>
        <w:t>minorista de combustible a nivel nacional. Aun así, el mercado peruano se encuentra asociado principalmente a estaciones abanderadas o afiliadas, por lo que ni Primax y Repsol tienen injerencia directa sobre los precios de la mayoría de estaciones a las que prestan su marca.</w:t>
      </w:r>
    </w:p>
    <w:p w14:paraId="78780B61" w14:textId="2926633A" w:rsidR="00243304" w:rsidRPr="00074369" w:rsidRDefault="00243304">
      <w:pPr>
        <w:spacing w:after="200" w:line="276" w:lineRule="auto"/>
        <w:jc w:val="left"/>
        <w:rPr>
          <w:sz w:val="18"/>
        </w:rPr>
      </w:pPr>
    </w:p>
    <w:p w14:paraId="29D381AE" w14:textId="77777777" w:rsidR="00AE36B3" w:rsidRPr="00074369" w:rsidRDefault="00AE36B3" w:rsidP="00F752E8">
      <w:pPr>
        <w:spacing w:after="0"/>
        <w:rPr>
          <w:sz w:val="18"/>
        </w:rPr>
      </w:pPr>
    </w:p>
    <w:p w14:paraId="7E34F94C" w14:textId="77777777" w:rsidR="00EE678A" w:rsidRDefault="00EE678A">
      <w:pPr>
        <w:spacing w:after="200" w:line="276" w:lineRule="auto"/>
        <w:jc w:val="left"/>
        <w:rPr>
          <w:b/>
        </w:rPr>
      </w:pPr>
      <w:r>
        <w:br w:type="page"/>
      </w:r>
    </w:p>
    <w:p w14:paraId="1E6EE31A" w14:textId="76F70984" w:rsidR="001D7AC0" w:rsidRPr="00074369" w:rsidRDefault="001D7AC0" w:rsidP="000D15A3">
      <w:pPr>
        <w:pStyle w:val="Ttulo1"/>
      </w:pPr>
      <w:bookmarkStart w:id="48" w:name="_Toc11178408"/>
      <w:r w:rsidRPr="00074369">
        <w:lastRenderedPageBreak/>
        <w:t>Metodología</w:t>
      </w:r>
      <w:bookmarkEnd w:id="48"/>
    </w:p>
    <w:p w14:paraId="69ECB78C" w14:textId="132EA587" w:rsidR="00B55601" w:rsidRPr="00074369" w:rsidRDefault="00B55601" w:rsidP="000D15A3">
      <w:pPr>
        <w:pStyle w:val="Ttulo2"/>
      </w:pPr>
      <w:bookmarkStart w:id="49" w:name="_Toc11178409"/>
      <w:r w:rsidRPr="00074369">
        <w:t>Datos utilizados</w:t>
      </w:r>
      <w:bookmarkEnd w:id="49"/>
    </w:p>
    <w:p w14:paraId="7F90E702" w14:textId="52AAC37A" w:rsidR="006C6160" w:rsidRPr="00074369" w:rsidRDefault="00A96CAF" w:rsidP="006C6160">
      <w:r w:rsidRPr="00074369">
        <w:t xml:space="preserve"> </w:t>
      </w:r>
      <w:r w:rsidR="006C6160" w:rsidRPr="00074369">
        <w:t>La fuente primaria de datos para este trabajo consiste la base de datos del portal Facilito de OSINERGMIN. La base de datos contiene todos los precios reportados por las estaciones de servicio de Lima Metropolitana para los años 2017 y 2018</w:t>
      </w:r>
      <w:r w:rsidR="00445710" w:rsidRPr="00074369">
        <w:t>, además la dirección física y distrito de ubicación</w:t>
      </w:r>
      <w:r w:rsidR="006C6160" w:rsidRPr="00074369">
        <w:t>. En adición, se recolectó información sobre las coordenadas geográficas</w:t>
      </w:r>
      <w:r w:rsidR="00445710" w:rsidRPr="00074369">
        <w:t xml:space="preserve">, marca visible y </w:t>
      </w:r>
      <w:r w:rsidR="006C6160" w:rsidRPr="00074369">
        <w:t xml:space="preserve">características </w:t>
      </w:r>
      <w:r w:rsidR="00445710" w:rsidRPr="00074369">
        <w:t xml:space="preserve">adicionales </w:t>
      </w:r>
      <w:r w:rsidR="007231E6" w:rsidRPr="00074369">
        <w:t>para 437</w:t>
      </w:r>
      <w:r w:rsidR="006C6160" w:rsidRPr="00074369">
        <w:t xml:space="preserve"> estaciones.</w:t>
      </w:r>
      <w:r w:rsidR="00197033" w:rsidRPr="00074369">
        <w:t xml:space="preserve">  </w:t>
      </w:r>
    </w:p>
    <w:p w14:paraId="6CFE2AE3" w14:textId="77F6DBE2" w:rsidR="00A96CAF" w:rsidRPr="00074369" w:rsidRDefault="00A96CAF" w:rsidP="00A96CAF">
      <w:pPr>
        <w:pStyle w:val="Descripcin"/>
      </w:pPr>
      <w:bookmarkStart w:id="50" w:name="_Toc6348821"/>
      <w:bookmarkStart w:id="51" w:name="_Toc9171809"/>
      <w:r w:rsidRPr="00074369">
        <w:t xml:space="preserve">Gráfico </w:t>
      </w:r>
      <w:r w:rsidR="001F1E13">
        <w:fldChar w:fldCharType="begin"/>
      </w:r>
      <w:r w:rsidR="001F1E13">
        <w:instrText xml:space="preserve"> SEQ Gráfico \* ARABIC </w:instrText>
      </w:r>
      <w:r w:rsidR="001F1E13">
        <w:fldChar w:fldCharType="separate"/>
      </w:r>
      <w:r w:rsidR="001F1E13">
        <w:rPr>
          <w:noProof/>
        </w:rPr>
        <w:t>4</w:t>
      </w:r>
      <w:r w:rsidR="001F1E13">
        <w:fldChar w:fldCharType="end"/>
      </w:r>
      <w:r w:rsidRPr="00074369">
        <w:t>: Distribución de estaciones en distritos de Lima Metropolitana</w:t>
      </w:r>
      <w:bookmarkEnd w:id="50"/>
      <w:bookmarkEnd w:id="51"/>
    </w:p>
    <w:p w14:paraId="7C1A012C" w14:textId="2DFB5731" w:rsidR="00A96CAF" w:rsidRPr="00074369" w:rsidRDefault="00830424" w:rsidP="00830424">
      <w:pPr>
        <w:spacing w:after="120"/>
        <w:jc w:val="center"/>
      </w:pPr>
      <w:r w:rsidRPr="00074369">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p>
    <w:p w14:paraId="6A47B5ED" w14:textId="3498B533" w:rsidR="00A96CAF" w:rsidRPr="00074369" w:rsidRDefault="00A96CAF" w:rsidP="00A96CAF">
      <w:pPr>
        <w:jc w:val="left"/>
        <w:rPr>
          <w:sz w:val="18"/>
        </w:rPr>
      </w:pPr>
      <w:r w:rsidRPr="00074369">
        <w:rPr>
          <w:sz w:val="18"/>
        </w:rPr>
        <w:t>Fuente: Elaboración propia, 2019</w:t>
      </w:r>
    </w:p>
    <w:p w14:paraId="6988606B" w14:textId="633F124A" w:rsidR="00445710" w:rsidRPr="00074369" w:rsidRDefault="00445710" w:rsidP="00445710">
      <w:r w:rsidRPr="00074369">
        <w:t>A cada estación se le añadió información sobre potenciales determinantes de la demanda del distrito en el cual se ubican. Las variables utilizadas para el control de demanda localizada son el ingreso familiar per cápita del distrito</w:t>
      </w:r>
      <w:r w:rsidR="00A96CAF" w:rsidRPr="00074369">
        <w:t xml:space="preserve"> y</w:t>
      </w:r>
      <w:r w:rsidRPr="00074369">
        <w:t xml:space="preserve"> densidad de población. </w:t>
      </w:r>
    </w:p>
    <w:p w14:paraId="6B8A31E4" w14:textId="63EA9323" w:rsidR="00445710" w:rsidRPr="00074369" w:rsidRDefault="00445710" w:rsidP="00213DE0">
      <w:pPr>
        <w:pStyle w:val="Ttulo2"/>
      </w:pPr>
      <w:bookmarkStart w:id="52" w:name="_Toc11178410"/>
      <w:r w:rsidRPr="00074369">
        <w:lastRenderedPageBreak/>
        <w:t>Definición de mercados</w:t>
      </w:r>
      <w:bookmarkEnd w:id="52"/>
    </w:p>
    <w:p w14:paraId="30F900A5" w14:textId="0E88C9D0" w:rsidR="00F52BE8" w:rsidRPr="00074369" w:rsidRDefault="008D5AD2" w:rsidP="00213DE0">
      <w:r>
        <w:t>La definición de mercados</w:t>
      </w:r>
      <w:r w:rsidR="00213DE0" w:rsidRPr="00074369">
        <w:t xml:space="preserve"> se puede realizar a nivel de jurisdiccional de distritos o municipalidades </w:t>
      </w:r>
      <w:r w:rsidR="00213DE0" w:rsidRPr="00074369">
        <w:fldChar w:fldCharType="begin"/>
      </w:r>
      <w:r w:rsidR="00355C59">
        <w:instrText xml:space="preserve"> ADDIN ZOTERO_ITEM CSL_CITATION {"citationID":"kKj0Zza7","properties":{"formattedCitation":"(Clemenz y Gugler, 2006)","plainCitation":"(Clemenz y Gugler, 2006)","noteIndex":0},"citationItems":[{"id":704,"uris":["http://zotero.org/groups/2269288/items/Q9SNCJ9N"],"uri":["http://zotero.org/groups/2269288/items/Q9SNCJ9N"],"itemData":{"id":704,"type":"article-journal","abstract":"Using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policy.","container-title":"Empirical Economics","DOI":"10.1007/s00181-005-0016-7","ISSN":"0377-7332, 1435-8921","issue":"2","language":"en","note":"Citation Key: clemenzLocationalChoicePrice2006","page":"291-312","source":"Crossref","title":"Locational choice and price competition: some empirical results for the austrian retail gasoline market","title-short":"Locational choice and price competition","volume":"31","author":[{"family":"Clemenz","given":"Gerhard"},{"family":"Gugler","given":"Klaus"}],"issued":{"date-parts":[["2006",6]]}}}],"schema":"https://github.com/citation-style-language/schema/raw/master/csl-citation.json"} </w:instrText>
      </w:r>
      <w:r w:rsidR="00213DE0" w:rsidRPr="00074369">
        <w:fldChar w:fldCharType="separate"/>
      </w:r>
      <w:r w:rsidR="00355C59" w:rsidRPr="00355C59">
        <w:rPr>
          <w:rFonts w:ascii="Times New Roman" w:hAnsi="Times New Roman"/>
        </w:rPr>
        <w:t>(</w:t>
      </w:r>
      <w:proofErr w:type="spellStart"/>
      <w:r w:rsidR="00355C59" w:rsidRPr="00355C59">
        <w:rPr>
          <w:rFonts w:ascii="Times New Roman" w:hAnsi="Times New Roman"/>
        </w:rPr>
        <w:t>Clemenz</w:t>
      </w:r>
      <w:proofErr w:type="spellEnd"/>
      <w:r w:rsidR="00355C59" w:rsidRPr="00355C59">
        <w:rPr>
          <w:rFonts w:ascii="Times New Roman" w:hAnsi="Times New Roman"/>
        </w:rPr>
        <w:t xml:space="preserve"> y </w:t>
      </w:r>
      <w:proofErr w:type="spellStart"/>
      <w:r w:rsidR="00355C59" w:rsidRPr="00355C59">
        <w:rPr>
          <w:rFonts w:ascii="Times New Roman" w:hAnsi="Times New Roman"/>
        </w:rPr>
        <w:t>Gugler</w:t>
      </w:r>
      <w:proofErr w:type="spellEnd"/>
      <w:r w:rsidR="00355C59" w:rsidRPr="00355C59">
        <w:rPr>
          <w:rFonts w:ascii="Times New Roman" w:hAnsi="Times New Roman"/>
        </w:rPr>
        <w:t>, 2006)</w:t>
      </w:r>
      <w:r w:rsidR="00213DE0" w:rsidRPr="00074369">
        <w:fldChar w:fldCharType="end"/>
      </w:r>
      <w:r w:rsidR="00213DE0" w:rsidRPr="00074369">
        <w:t xml:space="preserve"> o dibujando círculos alrededor de cada observación </w:t>
      </w:r>
      <w:r w:rsidR="00213DE0" w:rsidRPr="00074369">
        <w:fldChar w:fldCharType="begin"/>
      </w:r>
      <w:r w:rsidR="006F6D84">
        <w:instrText xml:space="preserve"> ADDIN ZOTERO_ITEM CSL_CITATION {"citationID":"8hH34IGh","properties":{"formattedCitation":"(Pennerstorfer, 2009)","plainCitation":"(Pennerstorfer, 2009)","noteIndex":0},"citationItems":[{"id":589,"uris":["http://zotero.org/groups/2269288/items/5RPKGMCF"],"uri":["http://zotero.org/groups/2269288/items/5RPKGMCF"],"itemData":{"id":589,"type":"article-journal","abstract":"This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stations.","container-title":"The Annals of Regional Science","DOI":"10.1007/s00168-007-0206-7","ISSN":"0570-1864, 1432-0592","issue":"1","language":"en","note":"Citation Key: pennerstorferSpatialPriceCompetition2009","page":"133-158","source":"Crossref","title":"Spatial price competition in retail gasoline markets: evidence from Austria","title-short":"Spatial price competition in retail gasoline markets","volume":"43","author":[{"family":"Pennerstorfer","given":"Dieter"}],"issued":{"date-parts":[["2009",3]]}}}],"schema":"https://github.com/citation-style-language/schema/raw/master/csl-citation.json"} </w:instrText>
      </w:r>
      <w:r w:rsidR="00213DE0" w:rsidRPr="00074369">
        <w:fldChar w:fldCharType="separate"/>
      </w:r>
      <w:r w:rsidR="00355C59" w:rsidRPr="00355C59">
        <w:rPr>
          <w:rFonts w:ascii="Times New Roman" w:hAnsi="Times New Roman"/>
        </w:rPr>
        <w:t>(</w:t>
      </w:r>
      <w:proofErr w:type="spellStart"/>
      <w:r w:rsidR="00355C59" w:rsidRPr="00355C59">
        <w:rPr>
          <w:rFonts w:ascii="Times New Roman" w:hAnsi="Times New Roman"/>
        </w:rPr>
        <w:t>Pennerstorfer</w:t>
      </w:r>
      <w:proofErr w:type="spellEnd"/>
      <w:r w:rsidR="00355C59" w:rsidRPr="00355C59">
        <w:rPr>
          <w:rFonts w:ascii="Times New Roman" w:hAnsi="Times New Roman"/>
        </w:rPr>
        <w:t>, 2009)</w:t>
      </w:r>
      <w:r w:rsidR="00213DE0" w:rsidRPr="00074369">
        <w:fldChar w:fldCharType="end"/>
      </w:r>
      <w:r w:rsidR="00213DE0" w:rsidRPr="00074369">
        <w:t xml:space="preserve">. </w:t>
      </w:r>
      <w:r w:rsidR="00CF0AC8">
        <w:t>En este trabajo considero</w:t>
      </w:r>
      <w:r w:rsidR="00213DE0" w:rsidRPr="00074369">
        <w:t xml:space="preserve"> polígonos Thiessen para </w:t>
      </w:r>
      <w:r w:rsidR="002E77DD" w:rsidRPr="00074369">
        <w:t>definir los mercados relevantes para cada estación</w:t>
      </w:r>
      <w:r w:rsidR="00197033" w:rsidRPr="00074369">
        <w:t xml:space="preserve">, tal como se muestra en </w:t>
      </w:r>
      <w:r w:rsidR="002E77DD" w:rsidRPr="00074369">
        <w:t xml:space="preserve">el </w:t>
      </w:r>
      <w:r w:rsidR="002E77DD" w:rsidRPr="00074369">
        <w:fldChar w:fldCharType="begin"/>
      </w:r>
      <w:r w:rsidR="002E77DD" w:rsidRPr="00074369">
        <w:instrText xml:space="preserve"> REF _Ref6265180 \h </w:instrText>
      </w:r>
      <w:r w:rsidR="002E77DD" w:rsidRPr="00074369">
        <w:fldChar w:fldCharType="separate"/>
      </w:r>
      <w:r w:rsidR="004C0429" w:rsidRPr="00074369">
        <w:t xml:space="preserve">Gráfico </w:t>
      </w:r>
      <w:r w:rsidR="004C0429">
        <w:rPr>
          <w:noProof/>
        </w:rPr>
        <w:t>6</w:t>
      </w:r>
      <w:r w:rsidR="002E77DD" w:rsidRPr="00074369">
        <w:fldChar w:fldCharType="end"/>
      </w:r>
      <w:r w:rsidR="00197033" w:rsidRPr="00074369">
        <w:t>. De esta manera</w:t>
      </w:r>
      <w:r w:rsidR="002E77DD" w:rsidRPr="00074369">
        <w:t xml:space="preserve">, una determinada </w:t>
      </w:r>
      <w:r w:rsidR="00197033" w:rsidRPr="00074369">
        <w:t xml:space="preserve">estación </w:t>
      </w:r>
      <w:r w:rsidR="002E77DD" w:rsidRPr="00074369">
        <w:t xml:space="preserve">compite directamente con las </w:t>
      </w:r>
      <w:r w:rsidR="00197033" w:rsidRPr="00074369">
        <w:t>estaciones que la rodean</w:t>
      </w:r>
      <w:r w:rsidR="007E719A" w:rsidRPr="00074369">
        <w:t xml:space="preserve"> (en el caso del gráfico, la estación señalada en rojo compite directamente con </w:t>
      </w:r>
      <w:r w:rsidR="004D1880" w:rsidRPr="00074369">
        <w:t>cuatro</w:t>
      </w:r>
      <w:r w:rsidR="007E719A" w:rsidRPr="00074369">
        <w:t xml:space="preserve"> estaciones)</w:t>
      </w:r>
      <w:r w:rsidR="00197033" w:rsidRPr="00074369">
        <w:t xml:space="preserve">. </w:t>
      </w:r>
    </w:p>
    <w:p w14:paraId="391B8A7F" w14:textId="337C12AD" w:rsidR="00213DE0" w:rsidRPr="00074369" w:rsidRDefault="00F52BE8" w:rsidP="00213DE0">
      <w:r w:rsidRPr="00074369">
        <w:t>La construcción con polígonos de Thiessen</w:t>
      </w:r>
      <w:r w:rsidR="00197033" w:rsidRPr="00074369">
        <w:t xml:space="preserve"> tiene la ventaja de utilizar la ubicación real de cada estación en relación al resto para definir los límites d</w:t>
      </w:r>
      <w:r w:rsidR="002E77DD" w:rsidRPr="00074369">
        <w:t xml:space="preserve">e cada mercado, mientras que las </w:t>
      </w:r>
      <w:r w:rsidR="00197033" w:rsidRPr="00074369">
        <w:t>alternativas anteriores solo consideran el número de competidores en un área predefinida por un círculo predefinido arbitrariamente para toda la muestra.</w:t>
      </w:r>
      <w:r w:rsidRPr="00074369">
        <w:t xml:space="preserve"> </w:t>
      </w:r>
      <w:commentRangeStart w:id="53"/>
      <w:r w:rsidRPr="00074369">
        <w:t>Sin embargo, como pruebas de robustez, se revisaron los resultados obtenidos en Capítulo V definiendo mercados mediante círculos de 1.5 km alrededor de cada observación.</w:t>
      </w:r>
      <w:commentRangeEnd w:id="53"/>
      <w:r w:rsidR="00CF0AC8">
        <w:rPr>
          <w:rStyle w:val="Refdecomentario"/>
        </w:rPr>
        <w:commentReference w:id="53"/>
      </w:r>
    </w:p>
    <w:p w14:paraId="5B18C375" w14:textId="3AD3CC64" w:rsidR="002E77DD" w:rsidRPr="00074369" w:rsidRDefault="002E77DD" w:rsidP="002E77DD">
      <w:pPr>
        <w:pStyle w:val="Descripcin"/>
      </w:pPr>
      <w:bookmarkStart w:id="54" w:name="_Ref6265180"/>
      <w:bookmarkStart w:id="55" w:name="_Toc6348822"/>
      <w:bookmarkStart w:id="56" w:name="_Toc9171810"/>
      <w:r w:rsidRPr="00074369">
        <w:t xml:space="preserve">Gráfico </w:t>
      </w:r>
      <w:r w:rsidR="001F1E13">
        <w:fldChar w:fldCharType="begin"/>
      </w:r>
      <w:r w:rsidR="001F1E13">
        <w:instrText xml:space="preserve"> SEQ Gráfico \* ARABIC </w:instrText>
      </w:r>
      <w:r w:rsidR="001F1E13">
        <w:fldChar w:fldCharType="separate"/>
      </w:r>
      <w:r w:rsidR="001F1E13">
        <w:rPr>
          <w:noProof/>
        </w:rPr>
        <w:t>5</w:t>
      </w:r>
      <w:r w:rsidR="001F1E13">
        <w:fldChar w:fldCharType="end"/>
      </w:r>
      <w:bookmarkEnd w:id="54"/>
      <w:r w:rsidRPr="00074369">
        <w:t xml:space="preserve">: </w:t>
      </w:r>
      <w:r w:rsidR="00A457F2" w:rsidRPr="00074369">
        <w:t xml:space="preserve">Vecinos de una </w:t>
      </w:r>
      <w:r w:rsidRPr="00074369">
        <w:t>estación de servicios utilizando polígonos de Thiessen</w:t>
      </w:r>
      <w:bookmarkEnd w:id="55"/>
      <w:bookmarkEnd w:id="56"/>
    </w:p>
    <w:p w14:paraId="2E03E1FD" w14:textId="54486FF7" w:rsidR="002E77DD" w:rsidRPr="00074369" w:rsidRDefault="00506BB6" w:rsidP="00B97460">
      <w:pPr>
        <w:pStyle w:val="Fuente"/>
      </w:pPr>
      <w:r w:rsidRPr="00074369">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r w:rsidR="002E77DD" w:rsidRPr="00074369">
        <w:t>Fuente: Elaboración propia, 2019</w:t>
      </w:r>
    </w:p>
    <w:p w14:paraId="5BCF3928" w14:textId="2A636C7A" w:rsidR="00197033" w:rsidRPr="00074369" w:rsidRDefault="00197033" w:rsidP="00197033">
      <w:pPr>
        <w:pStyle w:val="Ttulo2"/>
      </w:pPr>
      <w:bookmarkStart w:id="57" w:name="_Toc11178411"/>
      <w:r w:rsidRPr="00074369">
        <w:lastRenderedPageBreak/>
        <w:t>Definición de variables</w:t>
      </w:r>
      <w:bookmarkEnd w:id="57"/>
    </w:p>
    <w:p w14:paraId="25CAA792" w14:textId="0070FDB0" w:rsidR="005526A5" w:rsidRPr="00074369" w:rsidRDefault="006507EA" w:rsidP="006507EA">
      <w:pPr>
        <w:pStyle w:val="Prrafodelista"/>
        <w:numPr>
          <w:ilvl w:val="0"/>
          <w:numId w:val="25"/>
        </w:numPr>
      </w:pPr>
      <w:r w:rsidRPr="00074369">
        <w:t>Tipo de combustible</w:t>
      </w:r>
      <w:r w:rsidR="005526A5" w:rsidRPr="00074369">
        <w:t>: Es el combustible analizado para la regresión. Para el estudio solo se consideran los dos combustibles con más ventas en el país,</w:t>
      </w:r>
      <w:commentRangeStart w:id="58"/>
      <w:commentRangeStart w:id="59"/>
      <w:r w:rsidR="005526A5" w:rsidRPr="00074369">
        <w:t xml:space="preserve"> </w:t>
      </w:r>
      <w:proofErr w:type="spellStart"/>
      <w:r w:rsidR="005526A5" w:rsidRPr="00074369">
        <w:t>gasohol</w:t>
      </w:r>
      <w:proofErr w:type="spellEnd"/>
      <w:r w:rsidR="005526A5" w:rsidRPr="00074369">
        <w:t xml:space="preserve"> 90 octanos y diésel B5 S-50.</w:t>
      </w:r>
      <w:commentRangeEnd w:id="58"/>
      <w:r w:rsidR="001D00B4" w:rsidRPr="00074369">
        <w:rPr>
          <w:rStyle w:val="Refdecomentario"/>
        </w:rPr>
        <w:commentReference w:id="58"/>
      </w:r>
      <w:commentRangeEnd w:id="59"/>
      <w:r w:rsidR="00C83540" w:rsidRPr="00074369">
        <w:rPr>
          <w:rStyle w:val="Refdecomentario"/>
        </w:rPr>
        <w:commentReference w:id="59"/>
      </w:r>
    </w:p>
    <w:p w14:paraId="30F1CC5A" w14:textId="5D1CB3B4" w:rsidR="006507EA" w:rsidRPr="00074369" w:rsidRDefault="006507EA" w:rsidP="006507EA">
      <w:pPr>
        <w:pStyle w:val="Prrafodelista"/>
        <w:numPr>
          <w:ilvl w:val="0"/>
          <w:numId w:val="25"/>
        </w:numPr>
      </w:pPr>
      <w:r w:rsidRPr="00074369">
        <w:t>Precio de combustible</w:t>
      </w:r>
      <w:r w:rsidR="005526A5" w:rsidRPr="00074369">
        <w:t xml:space="preserve">: Es el precio promedio mensual registrado por la estación de servicio, medido en soles por galón. </w:t>
      </w:r>
    </w:p>
    <w:p w14:paraId="3126DEE0" w14:textId="6CF45412" w:rsidR="000950E9" w:rsidRPr="00074369" w:rsidRDefault="000950E9" w:rsidP="006507EA">
      <w:pPr>
        <w:pStyle w:val="Prrafodelista"/>
        <w:numPr>
          <w:ilvl w:val="0"/>
          <w:numId w:val="25"/>
        </w:numPr>
      </w:pPr>
      <w:r w:rsidRPr="00074369">
        <w:t>Mercado: Para efectos de la investigación, se considera que cada estación de combustible define un mercado compuesta por la misma estación y sus vecinas.</w:t>
      </w:r>
    </w:p>
    <w:p w14:paraId="7C15ADE2" w14:textId="7F713BE4" w:rsidR="005526A5" w:rsidRPr="00074369" w:rsidRDefault="005526A5" w:rsidP="006507EA">
      <w:pPr>
        <w:pStyle w:val="Prrafodelista"/>
        <w:numPr>
          <w:ilvl w:val="0"/>
          <w:numId w:val="25"/>
        </w:numPr>
      </w:pPr>
      <w:r w:rsidRPr="00074369">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B2358CB" w:rsidR="005526A5" w:rsidRPr="00074369" w:rsidRDefault="007A3BA0" w:rsidP="006507EA">
      <w:pPr>
        <w:pStyle w:val="Prrafodelista"/>
        <w:numPr>
          <w:ilvl w:val="0"/>
          <w:numId w:val="25"/>
        </w:numPr>
      </w:pPr>
      <w:r w:rsidRPr="00074369">
        <w:t>A</w:t>
      </w:r>
      <w:r w:rsidR="005526A5" w:rsidRPr="00074369">
        <w:t>grupamiento espacial:</w:t>
      </w:r>
      <w:r w:rsidRPr="00074369">
        <w:t xml:space="preserve"> Es una medida de</w:t>
      </w:r>
      <w:r w:rsidR="002E43AC" w:rsidRPr="00074369">
        <w:t xml:space="preserve"> </w:t>
      </w:r>
      <w:r w:rsidRPr="00074369">
        <w:t>l</w:t>
      </w:r>
      <w:r w:rsidR="002E43AC" w:rsidRPr="00074369">
        <w:t xml:space="preserve">a secuencia de estaciones de una misma </w:t>
      </w:r>
      <w:r w:rsidR="000950E9" w:rsidRPr="00074369">
        <w:t xml:space="preserve">firma en un mercado determinado. De esta manera, si una estación solo está rodeada por estaciones de la misma firma, el agrupamiento espacial es igual a 1. En cambio, si la estación está rodeada por N competidoras distintas, el valor es igual a </w:t>
      </w:r>
      <m:oMath>
        <m:r>
          <w:rPr>
            <w:rFonts w:ascii="Cambria Math" w:hAnsi="Cambria Math"/>
          </w:rPr>
          <m:t>1/N</m:t>
        </m:r>
        <m:r>
          <w:rPr>
            <w:rFonts w:ascii="Cambria Math" w:hAnsi="Cambria Math"/>
          </w:rPr>
          <m:t xml:space="preserve">. </m:t>
        </m:r>
      </m:oMath>
      <w:r w:rsidR="000950E9" w:rsidRPr="00074369">
        <w:t xml:space="preserve">El detalle del cálculo de esta variable se </w:t>
      </w:r>
      <w:r w:rsidR="00002231" w:rsidRPr="00074369">
        <w:t>describe en el Anexo 1</w:t>
      </w:r>
      <w:r w:rsidR="000950E9" w:rsidRPr="00074369">
        <w:t xml:space="preserve"> y sigue lo descrito en </w:t>
      </w:r>
      <w:proofErr w:type="spellStart"/>
      <w:r w:rsidR="000950E9" w:rsidRPr="00074369">
        <w:t>Pennerstorfer</w:t>
      </w:r>
      <w:proofErr w:type="spellEnd"/>
      <w:r w:rsidR="000950E9" w:rsidRPr="00074369">
        <w:t xml:space="preserve"> y Weiss </w:t>
      </w:r>
      <w:r w:rsidR="000950E9" w:rsidRPr="00074369">
        <w:fldChar w:fldCharType="begin"/>
      </w:r>
      <w:r w:rsidR="006F6D84">
        <w:instrText xml:space="preserve"> ADDIN ZOTERO_ITEM CSL_CITATION {"citationID":"W3wgumJ8","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000950E9" w:rsidRPr="00074369">
        <w:fldChar w:fldCharType="separate"/>
      </w:r>
      <w:r w:rsidR="00355C59" w:rsidRPr="00355C59">
        <w:rPr>
          <w:rFonts w:ascii="Times New Roman" w:hAnsi="Times New Roman"/>
        </w:rPr>
        <w:t>(2013)</w:t>
      </w:r>
      <w:r w:rsidR="000950E9" w:rsidRPr="00074369">
        <w:fldChar w:fldCharType="end"/>
      </w:r>
      <w:commentRangeStart w:id="60"/>
      <w:commentRangeEnd w:id="60"/>
      <w:r w:rsidR="000950E9" w:rsidRPr="00074369">
        <w:rPr>
          <w:rStyle w:val="Refdecomentario"/>
        </w:rPr>
        <w:commentReference w:id="60"/>
      </w:r>
      <w:commentRangeStart w:id="61"/>
      <w:commentRangeEnd w:id="61"/>
      <w:r w:rsidR="000950E9" w:rsidRPr="00074369">
        <w:rPr>
          <w:rStyle w:val="Refdecomentario"/>
        </w:rPr>
        <w:commentReference w:id="61"/>
      </w:r>
      <w:r w:rsidR="000950E9" w:rsidRPr="00074369">
        <w:t>.</w:t>
      </w:r>
      <w:r w:rsidR="00D651D1" w:rsidRPr="00074369">
        <w:t xml:space="preserve"> </w:t>
      </w:r>
    </w:p>
    <w:p w14:paraId="2221E8B4" w14:textId="08C13242" w:rsidR="007A3BA0" w:rsidRPr="00074369" w:rsidRDefault="007A3BA0" w:rsidP="006507EA">
      <w:pPr>
        <w:pStyle w:val="Prrafodelista"/>
        <w:numPr>
          <w:ilvl w:val="0"/>
          <w:numId w:val="25"/>
        </w:numPr>
      </w:pPr>
      <w:r w:rsidRPr="00074369">
        <w:t xml:space="preserve">Distancia al rival más cercano: Distancia en kilómetros a la estación de combustible más cercana. </w:t>
      </w:r>
    </w:p>
    <w:p w14:paraId="76B1CAD1" w14:textId="0AA0131E" w:rsidR="002E0259" w:rsidRPr="00074369" w:rsidRDefault="002E0259" w:rsidP="006507EA">
      <w:pPr>
        <w:pStyle w:val="Prrafodelista"/>
        <w:numPr>
          <w:ilvl w:val="0"/>
          <w:numId w:val="25"/>
        </w:numPr>
      </w:pPr>
      <w:r w:rsidRPr="00074369">
        <w:t>Distancia promedio: Distancia promedio en kilómetros a las estaciones vecinas.</w:t>
      </w:r>
    </w:p>
    <w:p w14:paraId="3A0A212B" w14:textId="2449C411" w:rsidR="002E0259" w:rsidRPr="00074369" w:rsidRDefault="002E0259" w:rsidP="006507EA">
      <w:pPr>
        <w:pStyle w:val="Prrafodelista"/>
        <w:numPr>
          <w:ilvl w:val="0"/>
          <w:numId w:val="25"/>
        </w:numPr>
      </w:pPr>
      <w:r w:rsidRPr="00074369">
        <w:t xml:space="preserve">Número de estaciones cercanas: Número de estaciones que se encuentran en un radio de 1.5 km de la estación </w:t>
      </w:r>
      <m:oMath>
        <m:r>
          <w:rPr>
            <w:rFonts w:ascii="Cambria Math" w:hAnsi="Cambria Math"/>
          </w:rPr>
          <m:t>i</m:t>
        </m:r>
      </m:oMath>
      <w:r w:rsidRPr="00074369">
        <w:t>.</w:t>
      </w:r>
    </w:p>
    <w:p w14:paraId="4F50F3F5" w14:textId="479EB9D1" w:rsidR="007A3BA0" w:rsidRPr="00074369" w:rsidRDefault="007A3BA0" w:rsidP="006507EA">
      <w:pPr>
        <w:pStyle w:val="Prrafodelista"/>
        <w:numPr>
          <w:ilvl w:val="0"/>
          <w:numId w:val="25"/>
        </w:numPr>
      </w:pPr>
      <w:r w:rsidRPr="00074369">
        <w:t>Lavado: Es 1 si la estación ofrece el servicio de lavado de autos, 0 si no lo hace.</w:t>
      </w:r>
    </w:p>
    <w:p w14:paraId="2F4B512E" w14:textId="1FF2AD15" w:rsidR="007A3BA0" w:rsidRPr="00074369" w:rsidRDefault="007A3BA0" w:rsidP="006507EA">
      <w:pPr>
        <w:pStyle w:val="Prrafodelista"/>
        <w:numPr>
          <w:ilvl w:val="0"/>
          <w:numId w:val="25"/>
        </w:numPr>
      </w:pPr>
      <w:r w:rsidRPr="00074369">
        <w:t>Mecánico: Es 1 si la estación ofrece atención mecánica (lubricación y/o servicio de llantas) y 0 si no lo hace.</w:t>
      </w:r>
    </w:p>
    <w:p w14:paraId="3BE6BE8B" w14:textId="1316372C" w:rsidR="007A3BA0" w:rsidRPr="00074369" w:rsidRDefault="007A3BA0" w:rsidP="006507EA">
      <w:pPr>
        <w:pStyle w:val="Prrafodelista"/>
        <w:numPr>
          <w:ilvl w:val="0"/>
          <w:numId w:val="25"/>
        </w:numPr>
      </w:pPr>
      <w:r w:rsidRPr="00074369">
        <w:t>Tienda: Es 1 si la estación cuenta con una tienda asociada y 0 si no cuenta con una.</w:t>
      </w:r>
    </w:p>
    <w:p w14:paraId="564F5392" w14:textId="0BAA690E" w:rsidR="002E0259" w:rsidRPr="00074369" w:rsidRDefault="002E0259" w:rsidP="006507EA">
      <w:pPr>
        <w:pStyle w:val="Prrafodelista"/>
        <w:numPr>
          <w:ilvl w:val="0"/>
          <w:numId w:val="25"/>
        </w:numPr>
      </w:pPr>
      <w:r w:rsidRPr="00074369">
        <w:t>Cajero: Es 1 si la estación cuenta con cajero automático y 0 si no cuenta con uno.</w:t>
      </w:r>
    </w:p>
    <w:p w14:paraId="0D9751CC" w14:textId="28F14E7F" w:rsidR="007A3BA0" w:rsidRPr="00074369" w:rsidRDefault="007A3BA0" w:rsidP="006507EA">
      <w:pPr>
        <w:pStyle w:val="Prrafodelista"/>
        <w:numPr>
          <w:ilvl w:val="0"/>
          <w:numId w:val="25"/>
        </w:numPr>
      </w:pPr>
      <w:r w:rsidRPr="00074369">
        <w:t>GNV: Es 1 si la estación también vende gas natural vehicular, y 0 si no lo hace.</w:t>
      </w:r>
    </w:p>
    <w:p w14:paraId="4C5D2398" w14:textId="771D7FF1" w:rsidR="007A3BA0" w:rsidRPr="00074369" w:rsidRDefault="007A3BA0" w:rsidP="006507EA">
      <w:pPr>
        <w:pStyle w:val="Prrafodelista"/>
        <w:numPr>
          <w:ilvl w:val="0"/>
          <w:numId w:val="25"/>
        </w:numPr>
      </w:pPr>
      <w:r w:rsidRPr="00074369">
        <w:t xml:space="preserve">GLP: Es 1 si la estación también vende gas </w:t>
      </w:r>
      <w:r w:rsidR="00497B45" w:rsidRPr="00074369">
        <w:t>licuado de petróleo</w:t>
      </w:r>
      <w:r w:rsidRPr="00074369">
        <w:t>, y 0 si no lo hace.</w:t>
      </w:r>
    </w:p>
    <w:p w14:paraId="354F01A7" w14:textId="63E2FE28" w:rsidR="00B838A8" w:rsidRPr="00074369" w:rsidRDefault="00497B45" w:rsidP="00B838A8">
      <w:pPr>
        <w:pStyle w:val="Prrafodelista"/>
        <w:numPr>
          <w:ilvl w:val="0"/>
          <w:numId w:val="25"/>
        </w:numPr>
      </w:pPr>
      <w:r w:rsidRPr="00074369">
        <w:t>Densidad poblacional: Es el número de personas que vive en un distrito dividido entre el área del distrito en km</w:t>
      </w:r>
      <w:r w:rsidRPr="00074369">
        <w:rPr>
          <w:vertAlign w:val="superscript"/>
        </w:rPr>
        <w:t>2</w:t>
      </w:r>
    </w:p>
    <w:p w14:paraId="163D2797" w14:textId="7BC21534" w:rsidR="006C037F" w:rsidRPr="00074369" w:rsidRDefault="006C037F" w:rsidP="00B838A8">
      <w:pPr>
        <w:pStyle w:val="Prrafodelista"/>
        <w:numPr>
          <w:ilvl w:val="0"/>
          <w:numId w:val="25"/>
        </w:numPr>
      </w:pPr>
      <w:r w:rsidRPr="00074369">
        <w:lastRenderedPageBreak/>
        <w:t>Ingreso per cápita: Ingreso familiar per cápita</w:t>
      </w:r>
      <w:r w:rsidR="00DA31E8" w:rsidRPr="00074369">
        <w:t xml:space="preserve"> (</w:t>
      </w:r>
      <w:r w:rsidR="00EB4D69" w:rsidRPr="00074369">
        <w:t xml:space="preserve">en miles de </w:t>
      </w:r>
      <w:r w:rsidR="00DA31E8" w:rsidRPr="00074369">
        <w:t>soles por persona)</w:t>
      </w:r>
      <w:r w:rsidRPr="00074369">
        <w:t xml:space="preserve"> a nivel distrital para el año 2012.</w:t>
      </w:r>
    </w:p>
    <w:p w14:paraId="5FB45B28" w14:textId="5CA2743C" w:rsidR="00F91724" w:rsidRPr="00074369" w:rsidRDefault="00F91724" w:rsidP="00B838A8">
      <w:pPr>
        <w:pStyle w:val="Prrafodelista"/>
        <w:numPr>
          <w:ilvl w:val="0"/>
          <w:numId w:val="25"/>
        </w:numPr>
      </w:pPr>
      <w:r w:rsidRPr="00074369">
        <w:t xml:space="preserve">Número de viajes al distrito: Número de viajes (en millones) en medios motorizados que el distrito recibió en diciembre de 2017. </w:t>
      </w:r>
    </w:p>
    <w:p w14:paraId="7BBF7FDE" w14:textId="6379184D" w:rsidR="006507EA" w:rsidRPr="00074369" w:rsidRDefault="006C037F" w:rsidP="006507EA">
      <w:pPr>
        <w:pStyle w:val="Ttulo2"/>
      </w:pPr>
      <w:bookmarkStart w:id="62" w:name="_Toc11178412"/>
      <w:r w:rsidRPr="00074369">
        <w:t>Regresio</w:t>
      </w:r>
      <w:r w:rsidR="006507EA" w:rsidRPr="00074369">
        <w:t>n</w:t>
      </w:r>
      <w:r w:rsidRPr="00074369">
        <w:t>es</w:t>
      </w:r>
      <w:r w:rsidR="006507EA" w:rsidRPr="00074369">
        <w:t xml:space="preserve"> a estimar</w:t>
      </w:r>
      <w:bookmarkEnd w:id="62"/>
    </w:p>
    <w:p w14:paraId="545219FF" w14:textId="37F627D3" w:rsidR="00DA31E8" w:rsidRPr="00074369" w:rsidRDefault="00EA08AA" w:rsidP="00720BB9">
      <w:pPr>
        <w:pStyle w:val="Ttulo3"/>
      </w:pPr>
      <w:bookmarkStart w:id="63" w:name="_Toc11178413"/>
      <w:commentRangeStart w:id="64"/>
      <w:r w:rsidRPr="00074369">
        <w:t>Estimación del efecto de adquisición de una cadena de estaciones</w:t>
      </w:r>
      <w:bookmarkEnd w:id="63"/>
      <w:commentRangeEnd w:id="64"/>
      <w:r w:rsidR="00CC0ED4">
        <w:rPr>
          <w:rStyle w:val="Refdecomentario"/>
          <w:b w:val="0"/>
        </w:rPr>
        <w:commentReference w:id="64"/>
      </w:r>
    </w:p>
    <w:p w14:paraId="6DEB65A6" w14:textId="12D15077" w:rsidR="00DB36E8" w:rsidRPr="00074369" w:rsidRDefault="00A815AC" w:rsidP="00A815AC">
      <w:r w:rsidRPr="00074369">
        <w:t xml:space="preserve">Siguiendo lo descrito por Hastings </w:t>
      </w:r>
      <w:r w:rsidRPr="00074369">
        <w:fldChar w:fldCharType="begin"/>
      </w:r>
      <w:r w:rsidR="00D32568">
        <w:instrText xml:space="preserve"> ADDIN ZOTERO_ITEM CSL_CITATION {"citationID":"OItQ6dTQ","properties":{"formattedCitation":"(2004)","plainCitation":"(2004)","noteIndex":0},"citationItems":[{"id":685,"uris":["http://zotero.org/groups/2269288/items/R4UZQ3CV"],"uri":["http://zotero.org/groups/2269288/items/R4UZQ3CV"],"itemData":{"id":685,"type":"article-journal","container-title":"The American Economic Review","ISSN":"0002-8282","issue":"1","note":"Citation Key: hastingsVerticalRelationshipsCompetition2004","page":"317-328","source":"JSTOR","title":"Vertical Relationships and Competition in Retail Gasoline Markets: Empirical Evidence from Contract Changes in Southern California","title-short":"Vertical Relationships and Competition in Retail Gasoline Markets","volume":"94","author":[{"family":"Hastings","given":"Justine S."}],"issued":{"date-parts":[["2004"]]}},"suppress-author":true}],"schema":"https://github.com/citation-style-language/schema/raw/master/csl-citation.json"} </w:instrText>
      </w:r>
      <w:r w:rsidRPr="00074369">
        <w:fldChar w:fldCharType="separate"/>
      </w:r>
      <w:r w:rsidR="00D32568" w:rsidRPr="00D32568">
        <w:rPr>
          <w:rFonts w:ascii="Times New Roman" w:hAnsi="Times New Roman"/>
        </w:rPr>
        <w:t>(2004)</w:t>
      </w:r>
      <w:r w:rsidRPr="00074369">
        <w:fldChar w:fldCharType="end"/>
      </w:r>
      <w:r w:rsidRPr="00074369">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w:t>
      </w:r>
      <w:r w:rsidR="00F80247">
        <w:t xml:space="preserve"> parámetros relacionados con </w:t>
      </w:r>
      <w:r w:rsidRPr="00074369">
        <w:t>el cambio en la propiedad de las estaciones de Pecsa, el cambio en el agrupamiento espacial, y el efecto que tuvo la venta sobre las estaciones que tenían como vecina a una estación Pecsa adquirida.</w:t>
      </w:r>
      <w:r w:rsidR="006F269F" w:rsidRPr="00074369">
        <w:t xml:space="preserve"> </w:t>
      </w:r>
    </w:p>
    <w:p w14:paraId="595B7F90" w14:textId="0DCD37A8" w:rsidR="00A815AC" w:rsidRPr="00074369" w:rsidRDefault="00A815AC" w:rsidP="00A815AC">
      <w:r w:rsidRPr="00074369">
        <w:t>La ecuaci</w:t>
      </w:r>
      <w:r w:rsidR="006F269F" w:rsidRPr="00074369">
        <w:t xml:space="preserve">ón estimada </w:t>
      </w:r>
      <w:r w:rsidRPr="00074369">
        <w:t>tiene la siguiente forma:</w:t>
      </w:r>
    </w:p>
    <w:p w14:paraId="58EAEA31" w14:textId="20627880" w:rsidR="00A815AC" w:rsidRPr="00074369" w:rsidRDefault="00F256B3" w:rsidP="00A815AC">
      <m:oMathPara>
        <m:oMath>
          <m:r>
            <w:rPr>
              <w:rFonts w:ascii="Cambria Math" w:hAnsi="Cambria Math"/>
            </w:rPr>
            <m:t>p_it</m:t>
          </m:r>
          <m:r>
            <w:rPr>
              <w:rFonts w:ascii="Cambria Math" w:hAnsi="Cambria Math"/>
            </w:rPr>
            <m:t>=μ+</m:t>
          </m:r>
          <m:r>
            <w:rPr>
              <w:rFonts w:ascii="Cambria Math" w:hAnsi="Cambria Math"/>
            </w:rPr>
            <m:t xml:space="preserve">β_1 </m:t>
          </m:r>
          <m:r>
            <w:rPr>
              <w:rFonts w:ascii="Cambria Math" w:hAnsi="Cambria Math"/>
            </w:rPr>
            <m:t>Prima</m:t>
          </m:r>
          <m:r>
            <w:rPr>
              <w:rFonts w:ascii="Cambria Math" w:hAnsi="Cambria Math"/>
            </w:rPr>
            <m:t>x_it</m:t>
          </m:r>
          <m:r>
            <w:rPr>
              <w:rFonts w:ascii="Cambria Math" w:hAnsi="Cambria Math"/>
            </w:rPr>
            <m:t>+</m:t>
          </m:r>
          <m:r>
            <w:rPr>
              <w:rFonts w:ascii="Cambria Math" w:hAnsi="Cambria Math"/>
            </w:rPr>
            <m:t>β_2 〖Contrato〗_it</m:t>
          </m:r>
          <m:r>
            <w:rPr>
              <w:rFonts w:ascii="Cambria Math" w:hAnsi="Cambria Math"/>
            </w:rPr>
            <m:t>+</m:t>
          </m:r>
          <m:r>
            <w:rPr>
              <w:rFonts w:ascii="Cambria Math" w:hAnsi="Cambria Math"/>
            </w:rPr>
            <m:t>β_3 Z_it</m:t>
          </m:r>
          <m:r>
            <w:rPr>
              <w:rFonts w:ascii="Cambria Math" w:hAnsi="Cambria Math"/>
            </w:rPr>
            <m:t>+</m:t>
          </m:r>
          <m:r>
            <w:rPr>
              <w:rFonts w:ascii="Cambria Math" w:hAnsi="Cambria Math"/>
            </w:rPr>
            <m:t xml:space="preserve">β_4 </m:t>
          </m:r>
          <m:r>
            <w:rPr>
              <w:rFonts w:ascii="Cambria Math" w:hAnsi="Cambria Math"/>
            </w:rPr>
            <m:t>S</m:t>
          </m:r>
          <m:r>
            <w:rPr>
              <w:rFonts w:ascii="Cambria Math" w:hAnsi="Cambria Math"/>
            </w:rPr>
            <m:t>C_it</m:t>
          </m:r>
          <m:r>
            <w:rPr>
              <w:rFonts w:ascii="Cambria Math" w:hAnsi="Cambria Math"/>
            </w:rPr>
            <m:t>+</m:t>
          </m:r>
          <m:r>
            <w:rPr>
              <w:rFonts w:ascii="Cambria Math" w:hAnsi="Cambria Math"/>
            </w:rPr>
            <m:t>u_it</m:t>
          </m:r>
          <m:r>
            <m:rPr>
              <m:sty m:val="p"/>
            </m:rPr>
            <w:rPr>
              <w:rFonts w:ascii="Cambria Math" w:hAnsi="Cambria Math"/>
            </w:rPr>
            <w:br/>
          </m:r>
        </m:oMath>
        <m:oMath>
          <m:r>
            <w:rPr>
              <w:rFonts w:ascii="Cambria Math" w:hAnsi="Cambria Math"/>
            </w:rPr>
            <m:t>u_it</m:t>
          </m:r>
          <m:r>
            <w:rPr>
              <w:rFonts w:ascii="Cambria Math" w:hAnsi="Cambria Math"/>
            </w:rPr>
            <m:t>=</m:t>
          </m:r>
          <m:r>
            <w:rPr>
              <w:rFonts w:ascii="Cambria Math" w:hAnsi="Cambria Math"/>
            </w:rPr>
            <m:t>c_i</m:t>
          </m:r>
          <m:r>
            <w:rPr>
              <w:rFonts w:ascii="Cambria Math" w:hAnsi="Cambria Math"/>
            </w:rPr>
            <m:t>+</m:t>
          </m:r>
          <m:r>
            <w:rPr>
              <w:rFonts w:ascii="Cambria Math" w:hAnsi="Cambria Math"/>
            </w:rPr>
            <m:t>λ_t</m:t>
          </m:r>
          <m:r>
            <w:rPr>
              <w:rFonts w:ascii="Cambria Math" w:hAnsi="Cambria Math"/>
            </w:rPr>
            <m:t>+</m:t>
          </m:r>
          <m:r>
            <w:rPr>
              <w:rFonts w:ascii="Cambria Math" w:hAnsi="Cambria Math"/>
            </w:rPr>
            <m:t>ε_it</m:t>
          </m:r>
        </m:oMath>
      </m:oMathPara>
    </w:p>
    <w:p w14:paraId="4AB0D3FD" w14:textId="5BB442F5" w:rsidR="004E40F5" w:rsidRPr="00074369" w:rsidRDefault="006F269F" w:rsidP="006F269F">
      <w:r w:rsidRPr="00074369">
        <w:t xml:space="preserve">Donde </w:t>
      </w:r>
      <m:oMath>
        <m:r>
          <w:rPr>
            <w:rFonts w:ascii="Cambria Math" w:hAnsi="Cambria Math"/>
          </w:rPr>
          <m:t>Prima</m:t>
        </m:r>
        <m:r>
          <w:rPr>
            <w:rFonts w:ascii="Cambria Math" w:hAnsi="Cambria Math"/>
          </w:rPr>
          <m:t>x_it</m:t>
        </m:r>
      </m:oMath>
      <w:r w:rsidRPr="00074369">
        <w:t xml:space="preserve"> es una dummy igual a 1 si la estación fue adquirida por Primax (es decir, toma el valor de 0 para todas las estaciones antes de la venta)</w:t>
      </w:r>
      <w:r w:rsidR="00E8719E" w:rsidRPr="00074369">
        <w:t>.</w:t>
      </w:r>
      <w:r w:rsidRPr="00074369">
        <w:t xml:space="preserve"> </w:t>
      </w:r>
      <m:oMath>
        <m:r>
          <w:rPr>
            <w:rFonts w:ascii="Cambria Math" w:hAnsi="Cambria Math"/>
          </w:rPr>
          <m:t>Z_it</m:t>
        </m:r>
      </m:oMath>
      <w:r w:rsidRPr="00074369">
        <w:t xml:space="preserve"> </w:t>
      </w:r>
      <w:r w:rsidR="0007726E" w:rsidRPr="00074369">
        <w:t xml:space="preserve">es igual a 1 si la estación </w:t>
      </w:r>
      <m:oMath>
        <m:r>
          <w:rPr>
            <w:rFonts w:ascii="Cambria Math" w:hAnsi="Cambria Math"/>
          </w:rPr>
          <m:t>i</m:t>
        </m:r>
      </m:oMath>
      <w:r w:rsidR="0007726E" w:rsidRPr="00074369">
        <w:t xml:space="preserve"> compite con una estación comprada por Primax (de igual forma, toma el valor de 0 para todas las estaciones antes de la venta). </w:t>
      </w:r>
      <m:oMath>
        <m:r>
          <w:rPr>
            <w:rFonts w:ascii="Cambria Math" w:hAnsi="Cambria Math"/>
          </w:rPr>
          <m:t>Contrat</m:t>
        </m:r>
        <m:r>
          <w:rPr>
            <w:rFonts w:ascii="Cambria Math" w:hAnsi="Cambria Math"/>
          </w:rPr>
          <m:t>o_it</m:t>
        </m:r>
      </m:oMath>
      <w:r w:rsidR="00E8719E" w:rsidRPr="00074369">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65"/>
      <w:commentRangeStart w:id="66"/>
      <w:r w:rsidR="0007726E" w:rsidRPr="00074369">
        <w:rPr>
          <w:highlight w:val="yellow"/>
        </w:rPr>
        <w:t xml:space="preserve">La variable de agrupamiento espacial </w:t>
      </w:r>
      <m:oMath>
        <m:r>
          <w:rPr>
            <w:rFonts w:ascii="Cambria Math" w:hAnsi="Cambria Math"/>
            <w:highlight w:val="yellow"/>
          </w:rPr>
          <m:t>S</m:t>
        </m:r>
        <m:r>
          <w:rPr>
            <w:rFonts w:ascii="Cambria Math" w:hAnsi="Cambria Math"/>
            <w:highlight w:val="yellow"/>
          </w:rPr>
          <m:t>C</m:t>
        </m:r>
        <m:r>
          <w:rPr>
            <w:rFonts w:ascii="Cambria Math" w:hAnsi="Cambria Math"/>
          </w:rPr>
          <m:t>_</m:t>
        </m:r>
        <m:r>
          <w:rPr>
            <w:rFonts w:ascii="Cambria Math" w:hAnsi="Cambria Math"/>
            <w:highlight w:val="yellow"/>
          </w:rPr>
          <m:t>it</m:t>
        </m:r>
      </m:oMath>
      <w:r w:rsidR="0007726E" w:rsidRPr="00074369">
        <w:rPr>
          <w:highlight w:val="yellow"/>
        </w:rPr>
        <w:t xml:space="preserve"> cambia de valor de manera discreta luego de la venta para las estaciones en mercados donde se encontraba presente una estación propia de Pecsa.</w:t>
      </w:r>
      <w:commentRangeEnd w:id="65"/>
      <w:r w:rsidR="00B77576" w:rsidRPr="00074369">
        <w:rPr>
          <w:rStyle w:val="Refdecomentario"/>
          <w:highlight w:val="yellow"/>
        </w:rPr>
        <w:commentReference w:id="65"/>
      </w:r>
      <w:commentRangeEnd w:id="66"/>
      <w:r w:rsidR="00113944">
        <w:rPr>
          <w:rStyle w:val="Refdecomentario"/>
        </w:rPr>
        <w:commentReference w:id="66"/>
      </w:r>
    </w:p>
    <w:p w14:paraId="2A7CD9E0" w14:textId="09598450" w:rsidR="00A6122C" w:rsidRPr="00074369" w:rsidRDefault="00B14961" w:rsidP="00B14961">
      <w:r w:rsidRPr="00074369">
        <w:lastRenderedPageBreak/>
        <w:t xml:space="preserve">Para determinar la existencia de dependencia espacial en los datos, utilizamos </w:t>
      </w:r>
      <w:r w:rsidR="00F0357E">
        <w:t>l</w:t>
      </w:r>
      <w:r w:rsidRPr="00074369">
        <w:t xml:space="preserve">as pruebas robustas de multiplicador de Lagrange (LM) propuestas por </w:t>
      </w:r>
      <w:proofErr w:type="spellStart"/>
      <w:r w:rsidRPr="00074369">
        <w:t>Anselin</w:t>
      </w:r>
      <w:proofErr w:type="spellEnd"/>
      <w:r w:rsidRPr="00074369">
        <w:t xml:space="preserve"> </w:t>
      </w:r>
      <w:r w:rsidRPr="00074369">
        <w:rPr>
          <w:i/>
        </w:rPr>
        <w:t xml:space="preserve">et al. </w:t>
      </w:r>
      <w:r w:rsidRPr="00074369">
        <w:fldChar w:fldCharType="begin"/>
      </w:r>
      <w:r w:rsidR="006F6D84">
        <w:instrText xml:space="preserve"> ADDIN ZOTERO_ITEM CSL_CITATION {"citationID":"ccNGPU4n","properties":{"formattedCitation":"(1996)","plainCitation":"(1996)","noteIndex":0},"citationItems":[{"id":661,"uris":["http://zotero.org/groups/2269288/items/6FTLR3FJ"],"uri":["http://zotero.org/groups/2269288/items/6FTLR3FJ"],"itemData":{"id":661,"type":"article-journal","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counterparts.","container-title":"Regional Science and Urban Economics","DOI":"10.1016/0166-0462(95)02111-6","ISSN":"0166-0462","issue":"1","journalAbbreviation":"Regional Science and Urban Economics","note":"Citation Key: anselinSimpleDiagnosticTests1996","page":"77-104","source":"ScienceDirect","title":"Simple diagnostic tests for spatial dependence","volume":"26","author":[{"family":"Anselin","given":"Luc"},{"family":"Bera","given":"Anil K."},{"family":"Florax","given":"Raymond"},{"family":"Yoon","given":"Mann J."}],"issued":{"date-parts":[["1996",2,1]]}},"suppress-author":true}],"schema":"https://github.com/citation-style-language/schema/raw/master/csl-citation.json"} </w:instrText>
      </w:r>
      <w:r w:rsidRPr="00074369">
        <w:fldChar w:fldCharType="separate"/>
      </w:r>
      <w:r w:rsidR="00355C59" w:rsidRPr="00355C59">
        <w:rPr>
          <w:rFonts w:ascii="Times New Roman" w:hAnsi="Times New Roman"/>
        </w:rPr>
        <w:t>(1996)</w:t>
      </w:r>
      <w:r w:rsidRPr="00074369">
        <w:fldChar w:fldCharType="end"/>
      </w:r>
      <w:r w:rsidR="00113944">
        <w:t xml:space="preserve"> para los modelos </w:t>
      </w:r>
      <w:proofErr w:type="spellStart"/>
      <w:r w:rsidR="00113944" w:rsidRPr="00074369">
        <w:t>autoregresivo</w:t>
      </w:r>
      <w:proofErr w:type="spellEnd"/>
      <w:r w:rsidR="00113944" w:rsidRPr="00074369">
        <w:t xml:space="preserve"> espacial (SAR)</w:t>
      </w:r>
      <w:r w:rsidR="00113944">
        <w:t xml:space="preserve"> y </w:t>
      </w:r>
      <w:r w:rsidR="00113944" w:rsidRPr="00074369">
        <w:t>espacial de errores (SEM)</w:t>
      </w:r>
      <w:r w:rsidRPr="00074369">
        <w:t xml:space="preserve">. </w:t>
      </w:r>
      <w:r w:rsidR="00850C4E">
        <w:t>Rechazar l</w:t>
      </w:r>
      <w:r w:rsidRPr="00074369">
        <w:t>a hipótesis nul</w:t>
      </w:r>
      <w:r w:rsidR="00F0357E">
        <w:t xml:space="preserve">a </w:t>
      </w:r>
      <m:oMath>
        <m:r>
          <w:rPr>
            <w:rFonts w:ascii="Cambria Math" w:hAnsi="Cambria Math"/>
          </w:rPr>
          <m:t>ρ=0</m:t>
        </m:r>
      </m:oMath>
      <w:r w:rsidRPr="00074369">
        <w:t xml:space="preserve"> </w:t>
      </w:r>
      <w:r w:rsidR="00850C4E">
        <w:t xml:space="preserve">indica que existe correlación espacial en la variable dependiente. Por otra parte, rechazar la hipótesis nula </w:t>
      </w:r>
      <m:oMath>
        <m:r>
          <w:rPr>
            <w:rFonts w:ascii="Cambria Math" w:hAnsi="Cambria Math"/>
          </w:rPr>
          <m:t xml:space="preserve">λ=0 </m:t>
        </m:r>
      </m:oMath>
      <w:r w:rsidR="00850C4E">
        <w:t>indica que existe correlación espacial en los residuos del modelo lineal estimado</w:t>
      </w:r>
      <w:r w:rsidRPr="00074369">
        <w:t>.</w:t>
      </w:r>
      <w:r w:rsidR="002135C5" w:rsidRPr="00074369">
        <w:t xml:space="preserve"> En caso se rechace algunas de las hipótesis, se procede a estimar el modelo completo </w:t>
      </w:r>
      <w:r w:rsidR="008C47A7">
        <w:t>con ambas formas de dependencia espacial</w:t>
      </w:r>
      <w:r w:rsidR="002135C5" w:rsidRPr="00074369">
        <w:t xml:space="preserve">. </w:t>
      </w:r>
      <w:r w:rsidR="00A6122C" w:rsidRPr="00074369">
        <w:t>En ese caso, la ecuación a estimar es:</w:t>
      </w:r>
    </w:p>
    <w:p w14:paraId="62C5CE6F" w14:textId="685F6574" w:rsidR="006F269F" w:rsidRPr="00074369" w:rsidRDefault="00F256B3" w:rsidP="007B7EB8">
      <w:pPr>
        <w:jc w:val="center"/>
      </w:pPr>
      <m:oMathPara>
        <m:oMath>
          <m:r>
            <w:rPr>
              <w:rFonts w:ascii="Cambria Math" w:hAnsi="Cambria Math"/>
            </w:rPr>
            <m:t>p_it</m:t>
          </m:r>
          <m:r>
            <m:rPr>
              <m:aln/>
            </m:rPr>
            <w:rPr>
              <w:rFonts w:ascii="Cambria Math" w:hAnsi="Cambria Math"/>
            </w:rPr>
            <m:t>=μ+</m:t>
          </m:r>
          <m:r>
            <w:rPr>
              <w:rFonts w:ascii="Cambria Math" w:hAnsi="Cambria Math"/>
              <w:color w:val="000000" w:themeColor="text1"/>
            </w:rPr>
            <m:t>ρ</m:t>
          </m:r>
          <m:r>
            <w:rPr>
              <w:rFonts w:ascii="Cambria Math" w:hAnsi="Cambria Math"/>
              <w:color w:val="000000" w:themeColor="text1"/>
            </w:rPr>
            <m:t>∑</m:t>
          </m:r>
          <m:r>
            <w:rPr>
              <w:rFonts w:ascii="Cambria Math" w:hAnsi="Cambria Math"/>
              <w:color w:val="000000" w:themeColor="text1"/>
            </w:rPr>
            <m:t xml:space="preserve">_j▒w_ij </m:t>
          </m:r>
          <m:r>
            <m:rPr>
              <m:sty m:val="p"/>
            </m:rPr>
            <w:rPr>
              <w:rFonts w:ascii="Cambria Math" w:hAnsi="Cambria Math"/>
              <w:color w:val="000000" w:themeColor="text1"/>
            </w:rPr>
            <m:t>×</m:t>
          </m:r>
          <m:r>
            <w:rPr>
              <w:rFonts w:ascii="Cambria Math" w:hAnsi="Cambria Math"/>
              <w:color w:val="000000" w:themeColor="text1"/>
            </w:rPr>
            <m:t>p_j</m:t>
          </m:r>
          <m:r>
            <w:rPr>
              <w:rFonts w:ascii="Cambria Math" w:hAnsi="Cambria Math"/>
              <w:color w:val="000000" w:themeColor="text1"/>
            </w:rPr>
            <m:t xml:space="preserve">+ </m:t>
          </m:r>
          <m:r>
            <w:rPr>
              <w:rFonts w:ascii="Cambria Math" w:hAnsi="Cambria Math"/>
            </w:rPr>
            <m:t xml:space="preserve">β_1 </m:t>
          </m:r>
          <m:r>
            <w:rPr>
              <w:rFonts w:ascii="Cambria Math" w:hAnsi="Cambria Math"/>
            </w:rPr>
            <m:t>Prima</m:t>
          </m:r>
          <m:r>
            <w:rPr>
              <w:rFonts w:ascii="Cambria Math" w:hAnsi="Cambria Math"/>
            </w:rPr>
            <m:t>x_it</m:t>
          </m:r>
          <m:r>
            <w:rPr>
              <w:rFonts w:ascii="Cambria Math" w:hAnsi="Cambria Math"/>
            </w:rPr>
            <m:t>+</m:t>
          </m:r>
          <m:r>
            <w:rPr>
              <w:rFonts w:ascii="Cambria Math" w:hAnsi="Cambria Math"/>
            </w:rPr>
            <m:t>β_2 〖Contrato〗_it</m:t>
          </m:r>
          <m:r>
            <w:rPr>
              <w:rFonts w:ascii="Cambria Math" w:hAnsi="Cambria Math"/>
            </w:rPr>
            <m:t>+</m:t>
          </m:r>
          <m:r>
            <w:rPr>
              <w:rFonts w:ascii="Cambria Math" w:hAnsi="Cambria Math"/>
            </w:rPr>
            <m:t>β_3 Z_it</m:t>
          </m:r>
          <m:r>
            <w:rPr>
              <w:rFonts w:ascii="Cambria Math" w:hAnsi="Cambria Math"/>
            </w:rPr>
            <m:t>+</m:t>
          </m:r>
          <m:r>
            <w:rPr>
              <w:rFonts w:ascii="Cambria Math" w:hAnsi="Cambria Math"/>
            </w:rPr>
            <m:t xml:space="preserve">β_4 </m:t>
          </m:r>
          <m:r>
            <w:rPr>
              <w:rFonts w:ascii="Cambria Math" w:hAnsi="Cambria Math"/>
            </w:rPr>
            <m:t>S</m:t>
          </m:r>
          <m:r>
            <w:rPr>
              <w:rFonts w:ascii="Cambria Math" w:hAnsi="Cambria Math"/>
            </w:rPr>
            <m:t>C_it</m:t>
          </m:r>
          <m:r>
            <w:rPr>
              <w:rFonts w:ascii="Cambria Math" w:hAnsi="Cambria Math"/>
            </w:rPr>
            <m:t>+</m:t>
          </m:r>
          <m:r>
            <w:rPr>
              <w:rFonts w:ascii="Cambria Math" w:hAnsi="Cambria Math"/>
            </w:rPr>
            <m:t>u_it</m:t>
          </m:r>
          <m:r>
            <m:rPr>
              <m:sty m:val="p"/>
            </m:rPr>
            <w:rPr>
              <w:rFonts w:ascii="Cambria Math" w:hAnsi="Cambria Math"/>
            </w:rPr>
            <w:br/>
          </m:r>
        </m:oMath>
        <m:oMath>
          <m:r>
            <w:rPr>
              <w:rFonts w:ascii="Cambria Math" w:hAnsi="Cambria Math"/>
            </w:rPr>
            <m:t>u_it</m:t>
          </m:r>
          <m:r>
            <w:rPr>
              <w:rFonts w:ascii="Cambria Math" w:hAnsi="Cambria Math"/>
            </w:rPr>
            <m:t>=</m:t>
          </m:r>
          <m:r>
            <w:rPr>
              <w:rFonts w:ascii="Cambria Math" w:hAnsi="Cambria Math"/>
            </w:rPr>
            <m:t>c_i</m:t>
          </m:r>
          <m:r>
            <w:rPr>
              <w:rFonts w:ascii="Cambria Math" w:hAnsi="Cambria Math"/>
            </w:rPr>
            <m:t>+</m:t>
          </m:r>
          <m:r>
            <w:rPr>
              <w:rFonts w:ascii="Cambria Math" w:hAnsi="Cambria Math"/>
            </w:rPr>
            <m:t>λ_t</m:t>
          </m:r>
          <m:r>
            <w:rPr>
              <w:rFonts w:ascii="Cambria Math" w:hAnsi="Cambria Math"/>
            </w:rPr>
            <m:t>+λ</m:t>
          </m:r>
          <m:r>
            <w:rPr>
              <w:rFonts w:ascii="Cambria Math" w:hAnsi="Cambria Math"/>
            </w:rPr>
            <m:t>∑</m:t>
          </m:r>
          <m:r>
            <w:rPr>
              <w:rFonts w:ascii="Cambria Math" w:hAnsi="Cambria Math"/>
            </w:rPr>
            <m:t>_j▒</m:t>
          </m:r>
          <m:r>
            <w:rPr>
              <w:rFonts w:ascii="Cambria Math" w:hAnsi="Cambria Math"/>
            </w:rPr>
            <m:t>〖</m:t>
          </m:r>
          <m:r>
            <w:rPr>
              <w:rFonts w:ascii="Cambria Math" w:hAnsi="Cambria Math"/>
            </w:rPr>
            <m:t xml:space="preserve">w_ij×u_jt </m:t>
          </m:r>
          <m:r>
            <w:rPr>
              <w:rFonts w:ascii="Cambria Math" w:hAnsi="Cambria Math"/>
            </w:rPr>
            <m:t>〗</m:t>
          </m:r>
          <m:r>
            <w:rPr>
              <w:rFonts w:ascii="Cambria Math" w:hAnsi="Cambria Math"/>
            </w:rPr>
            <m:t>+</m:t>
          </m:r>
          <m:r>
            <w:rPr>
              <w:rFonts w:ascii="Cambria Math" w:hAnsi="Cambria Math"/>
            </w:rPr>
            <m:t>v_it</m:t>
          </m:r>
        </m:oMath>
      </m:oMathPara>
    </w:p>
    <w:p w14:paraId="3622FB89" w14:textId="3ECE66B3" w:rsidR="00977F6B" w:rsidRPr="00074369" w:rsidRDefault="00977F6B" w:rsidP="006F269F">
      <w:r w:rsidRPr="00074369">
        <w:t xml:space="preserve">Donde </w:t>
      </w:r>
      <m:oMath>
        <m:r>
          <w:rPr>
            <w:rFonts w:ascii="Cambria Math" w:hAnsi="Cambria Math"/>
          </w:rPr>
          <m:t>ρ</m:t>
        </m:r>
      </m:oMath>
      <w:r w:rsidRPr="00074369">
        <w:t xml:space="preserve"> es el parámetro autoregresivo espacial y </w:t>
      </w:r>
      <m:oMath>
        <m:r>
          <w:rPr>
            <w:rFonts w:ascii="Cambria Math" w:hAnsi="Cambria Math"/>
          </w:rPr>
          <m:t>λ</m:t>
        </m:r>
      </m:oMath>
      <w:r w:rsidRPr="00074369">
        <w:t xml:space="preserve"> es el parámetro de error espacial</w:t>
      </w:r>
      <w:r w:rsidR="00803CA6" w:rsidRPr="00074369">
        <w:t xml:space="preserve">, </w:t>
      </w:r>
      <m:oMath>
        <m:r>
          <w:rPr>
            <w:rFonts w:ascii="Cambria Math" w:hAnsi="Cambria Math"/>
          </w:rPr>
          <m:t>v_it</m:t>
        </m:r>
      </m:oMath>
      <w:r w:rsidRPr="00074369">
        <w:t xml:space="preserve"> es un </w:t>
      </w:r>
      <w:r w:rsidR="00220CA4" w:rsidRPr="00074369">
        <w:t xml:space="preserve">error </w:t>
      </w:r>
      <w:proofErr w:type="spellStart"/>
      <w:r w:rsidR="00220CA4" w:rsidRPr="00074369">
        <w:t>homocedástico</w:t>
      </w:r>
      <w:proofErr w:type="spellEnd"/>
      <w:r w:rsidR="00220CA4" w:rsidRPr="00074369">
        <w:t xml:space="preserve"> sin dependencia espacial.</w:t>
      </w:r>
    </w:p>
    <w:p w14:paraId="5EF4A2C7" w14:textId="48386C7B" w:rsidR="00AD71D4" w:rsidRPr="00074369" w:rsidRDefault="009539C7" w:rsidP="006F269F">
      <w:r w:rsidRPr="00074369">
        <w:t xml:space="preserve">En esta aplicación, es necesario trabajar con unidades espacialmente adyacentes (tal como se muestran en </w:t>
      </w:r>
      <w:r w:rsidR="00FC7756" w:rsidRPr="00074369">
        <w:t xml:space="preserve">el </w:t>
      </w:r>
      <w:r w:rsidR="00FC7756" w:rsidRPr="00074369">
        <w:fldChar w:fldCharType="begin"/>
      </w:r>
      <w:r w:rsidR="00FC7756" w:rsidRPr="00074369">
        <w:instrText xml:space="preserve"> REF _Ref6265180 \h </w:instrText>
      </w:r>
      <w:r w:rsidR="00FC7756" w:rsidRPr="00074369">
        <w:fldChar w:fldCharType="separate"/>
      </w:r>
      <w:r w:rsidR="004C0429" w:rsidRPr="00074369">
        <w:t xml:space="preserve">Gráfico </w:t>
      </w:r>
      <w:r w:rsidR="004C0429">
        <w:rPr>
          <w:noProof/>
        </w:rPr>
        <w:t>6</w:t>
      </w:r>
      <w:r w:rsidR="00FC7756" w:rsidRPr="00074369">
        <w:fldChar w:fldCharType="end"/>
      </w:r>
      <w:r w:rsidRPr="00074369">
        <w:t>), ya que de lo contrario la matriz de distancia W no puede ser calculada, siendo necesaria para la estimación de los</w:t>
      </w:r>
      <w:r w:rsidR="009E41EB" w:rsidRPr="00074369">
        <w:t xml:space="preserve"> parámetros</w:t>
      </w:r>
      <w:r w:rsidRPr="00074369">
        <w:t xml:space="preserve">. </w:t>
      </w:r>
      <w:r w:rsidR="00FA202E" w:rsidRPr="00074369">
        <w:t xml:space="preserve">Por tanto, las estaciones </w:t>
      </w:r>
      <w:r w:rsidR="009E41EB" w:rsidRPr="00074369">
        <w:t>utilizadas para la estimación</w:t>
      </w:r>
      <w:r w:rsidR="00FA202E" w:rsidRPr="00074369">
        <w:t xml:space="preserve"> no consisten en una muestra aleatoria, más bien, representan todas las estaciones operativas en los distritos incluidos. Por este motivo, y siguiendo la recomendación de </w:t>
      </w:r>
      <w:proofErr w:type="spellStart"/>
      <w:r w:rsidR="00FA202E" w:rsidRPr="00074369">
        <w:t>Elhorst</w:t>
      </w:r>
      <w:proofErr w:type="spellEnd"/>
      <w:r w:rsidR="00FA202E" w:rsidRPr="00074369">
        <w:t xml:space="preserve"> </w:t>
      </w:r>
      <w:r w:rsidR="00FA202E" w:rsidRPr="00074369">
        <w:fldChar w:fldCharType="begin"/>
      </w:r>
      <w:r w:rsidR="006F6D84">
        <w:instrText xml:space="preserve"> ADDIN ZOTERO_ITEM CSL_CITATION {"citationID":"9McL3VMl","properties":{"formattedCitation":"(2014:56)","plainCitation":"(2014:56)","noteIndex":0},"citationItems":[{"id":635,"uris":["http://zotero.org/groups/2269288/items/G7KD44CS"],"uri":["http://zotero.org/groups/2269288/items/G7KD44CS"],"itemData":{"id":635,"type":"book","note":"Citation Key: elhorstSpatialEconometricsCrosssectional2014","publisher":"Springer","source":"Google Scholar","title":"Spatial econometrics: from cross-sectional data to spatial panels","title-short":"Spatial econometrics","volume":"479","author":[{"family":"Elhorst","given":"J. Paul"}],"issued":{"date-parts":[["2014"]]}},"suppress-author":true,"suffix":":56"}],"schema":"https://github.com/citation-style-language/schema/raw/master/csl-citation.json"} </w:instrText>
      </w:r>
      <w:r w:rsidR="00FA202E" w:rsidRPr="00074369">
        <w:fldChar w:fldCharType="separate"/>
      </w:r>
      <w:r w:rsidR="00355C59" w:rsidRPr="00355C59">
        <w:rPr>
          <w:rFonts w:ascii="Times New Roman" w:hAnsi="Times New Roman"/>
        </w:rPr>
        <w:t>(2014:56)</w:t>
      </w:r>
      <w:r w:rsidR="00FA202E" w:rsidRPr="00074369">
        <w:fldChar w:fldCharType="end"/>
      </w:r>
      <w:r w:rsidR="00FA202E" w:rsidRPr="00074369">
        <w:t xml:space="preserve">, descarto la estimación por efectos aleatorios y </w:t>
      </w:r>
      <w:r w:rsidR="006C317A">
        <w:t>estimo</w:t>
      </w:r>
      <w:r w:rsidR="00FA202E" w:rsidRPr="00074369">
        <w:t xml:space="preserve"> utilizando efectos fijos.</w:t>
      </w:r>
    </w:p>
    <w:p w14:paraId="603DDDEC" w14:textId="2AED70E8" w:rsidR="00EA08AA" w:rsidRPr="00074369" w:rsidRDefault="00EA08AA" w:rsidP="00EA08AA">
      <w:pPr>
        <w:pStyle w:val="Ttulo3"/>
      </w:pPr>
      <w:bookmarkStart w:id="67" w:name="_Toc11178414"/>
      <w:r w:rsidRPr="00074369">
        <w:t xml:space="preserve">Estimación del efecto de adquisición </w:t>
      </w:r>
      <w:r w:rsidR="004552B0" w:rsidRPr="00074369">
        <w:t>estimado por Diferencias-en-Diferencias</w:t>
      </w:r>
      <w:bookmarkEnd w:id="67"/>
    </w:p>
    <w:p w14:paraId="2405E902" w14:textId="4CE14E26" w:rsidR="00EA08AA" w:rsidRPr="00074369" w:rsidRDefault="00B14A18" w:rsidP="00EA08AA">
      <w:r>
        <w:t xml:space="preserve">Como prueba de robustez, utilicé otra metodología para revisar si se </w:t>
      </w:r>
      <w:r w:rsidR="00C33B9C">
        <w:t>obtenían</w:t>
      </w:r>
      <w:r>
        <w:t xml:space="preserve"> resultados similares de aumentos de precios debido a la adquisición de las estaciones. </w:t>
      </w:r>
      <w:r w:rsidR="000B5BA8" w:rsidRPr="00074369">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sidRPr="00074369">
        <w:t xml:space="preserve">Consideramos al resto de estaciones no afectadas por la fusión como el grupo de </w:t>
      </w:r>
      <w:r w:rsidR="00063F4A" w:rsidRPr="00074369">
        <w:t>control.</w:t>
      </w:r>
    </w:p>
    <w:p w14:paraId="178EC4B0" w14:textId="4A349B55" w:rsidR="00063F4A" w:rsidRPr="00074369" w:rsidRDefault="00063F4A" w:rsidP="00EA08AA">
      <w:r w:rsidRPr="00074369">
        <w:t>La</w:t>
      </w:r>
      <w:r w:rsidR="000B5BA8" w:rsidRPr="00074369">
        <w:t>s especificaciones</w:t>
      </w:r>
      <w:r w:rsidRPr="00074369">
        <w:t xml:space="preserve"> de diferencias-en-diferencias utilizada</w:t>
      </w:r>
      <w:r w:rsidR="000B5BA8" w:rsidRPr="00074369">
        <w:t>s</w:t>
      </w:r>
      <w:r w:rsidRPr="00074369">
        <w:t xml:space="preserve"> </w:t>
      </w:r>
      <w:r w:rsidR="000B5BA8" w:rsidRPr="00074369">
        <w:t>son</w:t>
      </w:r>
      <w:r w:rsidRPr="00074369">
        <w:t>:</w:t>
      </w:r>
    </w:p>
    <w:p w14:paraId="143E7945" w14:textId="563D16AC" w:rsidR="000B5BA8" w:rsidRPr="00074369" w:rsidRDefault="00F256B3" w:rsidP="00493BB2">
      <w:pPr>
        <w:pStyle w:val="Descripcin"/>
      </w:pPr>
      <w:bookmarkStart w:id="68" w:name="_Ref8906605"/>
      <m:oMathPara>
        <m:oMath>
          <m:r>
            <m:rPr>
              <m:sty m:val="bi"/>
            </m:rPr>
            <w:rPr>
              <w:rFonts w:ascii="Cambria Math" w:hAnsi="Cambria Math"/>
            </w:rPr>
            <w:lastRenderedPageBreak/>
            <m:t>P_it</m:t>
          </m:r>
          <m:r>
            <m:rPr>
              <m:sty m:val="bi"/>
            </m:rPr>
            <w:rPr>
              <w:rFonts w:ascii="Cambria Math" w:hAnsi="Cambria Math"/>
            </w:rPr>
            <m:t>=</m:t>
          </m:r>
          <m:r>
            <m:rPr>
              <m:sty m:val="bi"/>
            </m:rPr>
            <w:rPr>
              <w:rFonts w:ascii="Cambria Math" w:hAnsi="Cambria Math"/>
            </w:rPr>
            <m:t>β_0</m:t>
          </m:r>
          <m:r>
            <m:rPr>
              <m:sty m:val="bi"/>
            </m:rPr>
            <w:rPr>
              <w:rFonts w:ascii="Cambria Math" w:hAnsi="Cambria Math"/>
            </w:rPr>
            <m:t>+</m:t>
          </m:r>
          <m:r>
            <m:rPr>
              <m:sty m:val="bi"/>
            </m:rPr>
            <w:rPr>
              <w:rFonts w:ascii="Cambria Math" w:hAnsi="Cambria Math"/>
            </w:rPr>
            <m:t>T_(post,i) β_1</m:t>
          </m:r>
          <m:r>
            <m:rPr>
              <m:sty m:val="bi"/>
            </m:rPr>
            <w:rPr>
              <w:rFonts w:ascii="Cambria Math" w:hAnsi="Cambria Math"/>
            </w:rPr>
            <m:t>+</m:t>
          </m:r>
          <m:r>
            <m:rPr>
              <m:sty m:val="bi"/>
            </m:rPr>
            <w:rPr>
              <w:rFonts w:ascii="Cambria Math" w:hAnsi="Cambria Math"/>
            </w:rPr>
            <m:t>D_(compra,i) β_2</m:t>
          </m:r>
          <m:r>
            <m:rPr>
              <m:sty m:val="bi"/>
            </m:rPr>
            <w:rPr>
              <w:rFonts w:ascii="Cambria Math" w:hAnsi="Cambria Math"/>
            </w:rPr>
            <m:t>+</m:t>
          </m:r>
          <m:r>
            <m:rPr>
              <m:sty m:val="bi"/>
            </m:rPr>
            <w:rPr>
              <w:rFonts w:ascii="Cambria Math" w:hAnsi="Cambria Math"/>
            </w:rPr>
            <m:t>T_(post,i)</m:t>
          </m:r>
          <m:r>
            <m:rPr>
              <m:sty m:val="bi"/>
            </m:rPr>
            <w:rPr>
              <w:rFonts w:ascii="Cambria Math" w:hAnsi="Cambria Math"/>
            </w:rPr>
            <m:t>×</m:t>
          </m:r>
          <m:r>
            <m:rPr>
              <m:sty m:val="bi"/>
            </m:rPr>
            <w:rPr>
              <w:rFonts w:ascii="Cambria Math" w:hAnsi="Cambria Math"/>
            </w:rPr>
            <m:t>D_(compra,i) γ_1</m:t>
          </m:r>
          <m:r>
            <m:rPr>
              <m:sty m:val="bi"/>
            </m:rPr>
            <w:rPr>
              <w:rFonts w:ascii="Cambria Math" w:hAnsi="Cambria Math"/>
            </w:rPr>
            <m:t>+</m:t>
          </m:r>
          <m:r>
            <m:rPr>
              <m:sty m:val="bi"/>
            </m:rPr>
            <w:rPr>
              <w:rFonts w:ascii="Cambria Math" w:hAnsi="Cambria Math"/>
            </w:rPr>
            <m:t>〖</m:t>
          </m:r>
          <m:r>
            <m:rPr>
              <m:sty m:val="b"/>
            </m:rPr>
            <w:rPr>
              <w:rFonts w:ascii="Cambria Math" w:hAnsi="Cambria Math"/>
            </w:rPr>
            <m:t>Φ</m:t>
          </m:r>
          <m:r>
            <m:rPr>
              <m:sty m:val="bi"/>
            </m:rPr>
            <w:rPr>
              <w:rFonts w:ascii="Cambria Math" w:hAnsi="Cambria Math"/>
            </w:rPr>
            <m:t>^' X〗_it</m:t>
          </m:r>
          <m:r>
            <m:rPr>
              <m:sty m:val="bi"/>
            </m:rPr>
            <w:rPr>
              <w:rFonts w:ascii="Cambria Math" w:hAnsi="Cambria Math"/>
            </w:rPr>
            <m:t>+</m:t>
          </m:r>
          <m:r>
            <m:rPr>
              <m:sty m:val="bi"/>
            </m:rPr>
            <w:rPr>
              <w:rFonts w:ascii="Cambria Math" w:hAnsi="Cambria Math"/>
            </w:rPr>
            <m:t>φ_t</m:t>
          </m:r>
          <m:r>
            <m:rPr>
              <m:sty m:val="bi"/>
            </m:rPr>
            <w:rPr>
              <w:rFonts w:ascii="Cambria Math" w:hAnsi="Cambria Math"/>
            </w:rPr>
            <m:t>+</m:t>
          </m:r>
          <m:r>
            <m:rPr>
              <m:sty m:val="bi"/>
            </m:rPr>
            <w:rPr>
              <w:rFonts w:ascii="Cambria Math" w:hAnsi="Cambria Math"/>
            </w:rPr>
            <m:t>ϕ_i</m:t>
          </m:r>
          <m:r>
            <m:rPr>
              <m:sty m:val="bi"/>
            </m:rPr>
            <w:rPr>
              <w:rFonts w:ascii="Cambria Math" w:hAnsi="Cambria Math"/>
            </w:rPr>
            <m:t>+</m:t>
          </m:r>
          <m:r>
            <m:rPr>
              <m:sty m:val="bi"/>
            </m:rPr>
            <w:rPr>
              <w:rFonts w:ascii="Cambria Math" w:hAnsi="Cambria Math"/>
            </w:rPr>
            <m:t xml:space="preserve">μ_it </m:t>
          </m:r>
          <m:r>
            <m:rPr>
              <m:sty m:val="bi"/>
            </m:rPr>
            <w:rPr>
              <w:rFonts w:ascii="Cambria Math" w:hAnsi="Cambria Math"/>
            </w:rPr>
            <m:t xml:space="preserve"> (</m:t>
          </m:r>
          <w:bookmarkStart w:id="69" w:name="compra_esp"/>
          <m:r>
            <m:rPr>
              <m:sty m:val="bi"/>
            </m:rPr>
            <w:rPr>
              <w:rFonts w:ascii="Cambria Math" w:hAnsi="Cambria Math"/>
              <w:i/>
            </w:rPr>
            <w:fldChar w:fldCharType="begin"/>
          </m:r>
          <m:r>
            <m:rPr>
              <m:sty m:val="bi"/>
            </m:rPr>
            <w:rPr>
              <w:rFonts w:ascii="Cambria Math" w:hAnsi="Cambria Math"/>
            </w:rPr>
            <m:t xml:space="preserve"> SEQ Ecuación \* ARABIC </m:t>
          </m:r>
          <m:r>
            <m:rPr>
              <m:sty m:val="bi"/>
            </m:rPr>
            <w:rPr>
              <w:rFonts w:ascii="Cambria Math" w:hAnsi="Cambria Math"/>
              <w:i/>
            </w:rPr>
            <w:fldChar w:fldCharType="separate"/>
          </m:r>
          <m:r>
            <m:rPr>
              <m:sty m:val="bi"/>
            </m:rPr>
            <w:rPr>
              <w:rFonts w:ascii="Cambria Math" w:hAnsi="Cambria Math"/>
              <w:noProof/>
            </w:rPr>
            <m:t>2</m:t>
          </m:r>
          <m:r>
            <m:rPr>
              <m:sty m:val="bi"/>
            </m:rPr>
            <w:rPr>
              <w:rFonts w:ascii="Cambria Math" w:hAnsi="Cambria Math"/>
              <w:i/>
            </w:rPr>
            <w:fldChar w:fldCharType="end"/>
          </m:r>
          <w:bookmarkStart w:id="70" w:name="_Ref8906614"/>
          <w:bookmarkEnd w:id="68"/>
          <w:bookmarkEnd w:id="69"/>
          <m:r>
            <m:rPr>
              <m:sty m:val="bi"/>
            </m:rPr>
            <w:rPr>
              <w:rFonts w:ascii="Cambria Math" w:hAnsi="Cambria Math"/>
            </w:rPr>
            <m:t>)</m:t>
          </m:r>
        </m:oMath>
      </m:oMathPara>
      <w:bookmarkEnd w:id="70"/>
    </w:p>
    <w:p w14:paraId="233E9CDA" w14:textId="0133E2DC" w:rsidR="000B5BA8" w:rsidRPr="00074369" w:rsidRDefault="00F256B3" w:rsidP="00493BB2">
      <w:pPr>
        <w:pStyle w:val="Descripcin"/>
        <w:spacing w:after="360"/>
      </w:pPr>
      <m:oMathPara>
        <m:oMath>
          <m:r>
            <m:rPr>
              <m:sty m:val="bi"/>
            </m:rPr>
            <w:rPr>
              <w:rFonts w:ascii="Cambria Math" w:hAnsi="Cambria Math"/>
            </w:rPr>
            <m:t>P_it</m:t>
          </m:r>
          <m:r>
            <m:rPr>
              <m:sty m:val="bi"/>
            </m:rPr>
            <w:rPr>
              <w:rFonts w:ascii="Cambria Math" w:hAnsi="Cambria Math"/>
            </w:rPr>
            <m:t>=</m:t>
          </m:r>
          <m:r>
            <m:rPr>
              <m:sty m:val="bi"/>
            </m:rPr>
            <w:rPr>
              <w:rFonts w:ascii="Cambria Math" w:hAnsi="Cambria Math"/>
            </w:rPr>
            <m:t>β_0</m:t>
          </m:r>
          <m:r>
            <m:rPr>
              <m:sty m:val="bi"/>
            </m:rPr>
            <w:rPr>
              <w:rFonts w:ascii="Cambria Math" w:hAnsi="Cambria Math"/>
            </w:rPr>
            <m:t>+</m:t>
          </m:r>
          <m:r>
            <m:rPr>
              <m:sty m:val="bi"/>
            </m:rPr>
            <w:rPr>
              <w:rFonts w:ascii="Cambria Math" w:hAnsi="Cambria Math"/>
            </w:rPr>
            <m:t>T_(post,i) β_1</m:t>
          </m:r>
          <m:r>
            <m:rPr>
              <m:sty m:val="bi"/>
            </m:rPr>
            <w:rPr>
              <w:rFonts w:ascii="Cambria Math" w:hAnsi="Cambria Math"/>
            </w:rPr>
            <m:t>+</m:t>
          </m:r>
          <m:r>
            <m:rPr>
              <m:sty m:val="bi"/>
            </m:rPr>
            <w:rPr>
              <w:rFonts w:ascii="Cambria Math" w:hAnsi="Cambria Math"/>
            </w:rPr>
            <m:t>D_(vecina,i) β_2</m:t>
          </m:r>
          <m:r>
            <m:rPr>
              <m:sty m:val="bi"/>
            </m:rPr>
            <w:rPr>
              <w:rFonts w:ascii="Cambria Math" w:hAnsi="Cambria Math"/>
            </w:rPr>
            <m:t>+</m:t>
          </m:r>
          <m:r>
            <m:rPr>
              <m:sty m:val="bi"/>
            </m:rPr>
            <w:rPr>
              <w:rFonts w:ascii="Cambria Math" w:hAnsi="Cambria Math"/>
            </w:rPr>
            <m:t>T_(post,i)</m:t>
          </m:r>
          <m:r>
            <m:rPr>
              <m:sty m:val="bi"/>
            </m:rPr>
            <w:rPr>
              <w:rFonts w:ascii="Cambria Math" w:hAnsi="Cambria Math"/>
            </w:rPr>
            <m:t>×</m:t>
          </m:r>
          <m:r>
            <m:rPr>
              <m:sty m:val="bi"/>
            </m:rPr>
            <w:rPr>
              <w:rFonts w:ascii="Cambria Math" w:hAnsi="Cambria Math"/>
            </w:rPr>
            <m:t>D_(compra,i) γ_1</m:t>
          </m:r>
          <m:r>
            <m:rPr>
              <m:sty m:val="bi"/>
            </m:rPr>
            <w:rPr>
              <w:rFonts w:ascii="Cambria Math" w:hAnsi="Cambria Math"/>
            </w:rPr>
            <m:t>+</m:t>
          </m:r>
          <m:r>
            <m:rPr>
              <m:sty m:val="bi"/>
            </m:rPr>
            <w:rPr>
              <w:rFonts w:ascii="Cambria Math" w:hAnsi="Cambria Math"/>
            </w:rPr>
            <m:t>〖</m:t>
          </m:r>
          <m:r>
            <m:rPr>
              <m:sty m:val="b"/>
            </m:rPr>
            <w:rPr>
              <w:rFonts w:ascii="Cambria Math" w:hAnsi="Cambria Math"/>
            </w:rPr>
            <m:t>Φ</m:t>
          </m:r>
          <m:r>
            <m:rPr>
              <m:sty m:val="bi"/>
            </m:rPr>
            <w:rPr>
              <w:rFonts w:ascii="Cambria Math" w:hAnsi="Cambria Math"/>
            </w:rPr>
            <m:t>^' X〗_it</m:t>
          </m:r>
          <m:r>
            <m:rPr>
              <m:sty m:val="bi"/>
            </m:rPr>
            <w:rPr>
              <w:rFonts w:ascii="Cambria Math" w:hAnsi="Cambria Math"/>
            </w:rPr>
            <m:t>+</m:t>
          </m:r>
          <m:r>
            <m:rPr>
              <m:sty m:val="bi"/>
            </m:rPr>
            <w:rPr>
              <w:rFonts w:ascii="Cambria Math" w:hAnsi="Cambria Math"/>
            </w:rPr>
            <m:t>φ_t</m:t>
          </m:r>
          <m:r>
            <m:rPr>
              <m:sty m:val="bi"/>
            </m:rPr>
            <w:rPr>
              <w:rFonts w:ascii="Cambria Math" w:hAnsi="Cambria Math"/>
            </w:rPr>
            <m:t>+</m:t>
          </m:r>
          <m:r>
            <m:rPr>
              <m:sty m:val="bi"/>
            </m:rPr>
            <w:rPr>
              <w:rFonts w:ascii="Cambria Math" w:hAnsi="Cambria Math"/>
            </w:rPr>
            <m:t>ϕ_i</m:t>
          </m:r>
          <m:r>
            <m:rPr>
              <m:sty m:val="bi"/>
            </m:rPr>
            <w:rPr>
              <w:rFonts w:ascii="Cambria Math" w:hAnsi="Cambria Math"/>
            </w:rPr>
            <m:t>+</m:t>
          </m:r>
          <m:r>
            <m:rPr>
              <m:sty m:val="bi"/>
            </m:rPr>
            <w:rPr>
              <w:rFonts w:ascii="Cambria Math" w:hAnsi="Cambria Math"/>
            </w:rPr>
            <m:t xml:space="preserve">μ_it </m:t>
          </m:r>
          <m:r>
            <m:rPr>
              <m:sty m:val="bi"/>
            </m:rPr>
            <w:rPr>
              <w:rFonts w:ascii="Cambria Math" w:hAnsi="Cambria Math"/>
            </w:rPr>
            <m:t xml:space="preserve"> (</m:t>
          </m:r>
          <w:bookmarkStart w:id="71" w:name="vecino_esp"/>
          <m:r>
            <m:rPr>
              <m:sty m:val="bi"/>
            </m:rPr>
            <w:rPr>
              <w:rFonts w:ascii="Cambria Math" w:hAnsi="Cambria Math"/>
              <w:i/>
            </w:rPr>
            <w:fldChar w:fldCharType="begin"/>
          </m:r>
          <m:r>
            <m:rPr>
              <m:sty m:val="bi"/>
            </m:rPr>
            <w:rPr>
              <w:rFonts w:ascii="Cambria Math" w:hAnsi="Cambria Math"/>
            </w:rPr>
            <m:t xml:space="preserve"> SEQ Ecuación \* ARABIC </m:t>
          </m:r>
          <m:r>
            <m:rPr>
              <m:sty m:val="bi"/>
            </m:rPr>
            <w:rPr>
              <w:rFonts w:ascii="Cambria Math" w:hAnsi="Cambria Math"/>
              <w:i/>
            </w:rPr>
            <w:fldChar w:fldCharType="separate"/>
          </m:r>
          <m:r>
            <m:rPr>
              <m:sty m:val="bi"/>
            </m:rPr>
            <w:rPr>
              <w:rFonts w:ascii="Cambria Math" w:hAnsi="Cambria Math"/>
              <w:noProof/>
            </w:rPr>
            <m:t>3</m:t>
          </m:r>
          <m:r>
            <m:rPr>
              <m:sty m:val="bi"/>
            </m:rPr>
            <w:rPr>
              <w:rFonts w:ascii="Cambria Math" w:hAnsi="Cambria Math"/>
              <w:i/>
            </w:rPr>
            <w:fldChar w:fldCharType="end"/>
          </m:r>
          <w:bookmarkEnd w:id="71"/>
          <m:r>
            <m:rPr>
              <m:sty m:val="bi"/>
            </m:rPr>
            <w:rPr>
              <w:rFonts w:ascii="Cambria Math" w:hAnsi="Cambria Math"/>
            </w:rPr>
            <m:t>)</m:t>
          </m:r>
        </m:oMath>
      </m:oMathPara>
    </w:p>
    <w:p w14:paraId="75E57769" w14:textId="19865888" w:rsidR="00D07F04" w:rsidRPr="00074369" w:rsidRDefault="00D07F04" w:rsidP="00D07F04">
      <w:r w:rsidRPr="00074369">
        <w:t xml:space="preserve">Donde </w:t>
      </w:r>
      <m:oMath>
        <m:r>
          <w:rPr>
            <w:rFonts w:ascii="Cambria Math" w:hAnsi="Cambria Math"/>
          </w:rPr>
          <m:t>P_it</m:t>
        </m:r>
      </m:oMath>
      <w:r w:rsidRPr="00074369">
        <w:t xml:space="preserve"> es el precio del combustible (puede ser diésel o gasohol 90) en la estación </w:t>
      </w:r>
      <m:oMath>
        <m:r>
          <w:rPr>
            <w:rFonts w:ascii="Cambria Math" w:hAnsi="Cambria Math"/>
          </w:rPr>
          <m:t xml:space="preserve">i </m:t>
        </m:r>
      </m:oMath>
      <w:r w:rsidRPr="00074369">
        <w:t xml:space="preserve">en el mes </w:t>
      </w:r>
      <m:oMath>
        <m:r>
          <w:rPr>
            <w:rFonts w:ascii="Cambria Math" w:hAnsi="Cambria Math"/>
          </w:rPr>
          <m:t>"t"</m:t>
        </m:r>
      </m:oMath>
      <w:r w:rsidRPr="00074369">
        <w:t xml:space="preserve">. </w:t>
      </w:r>
      <m:oMath>
        <m:r>
          <w:rPr>
            <w:rFonts w:ascii="Cambria Math" w:hAnsi="Cambria Math"/>
          </w:rPr>
          <m:t>T_post</m:t>
        </m:r>
      </m:oMath>
      <w:r w:rsidRPr="00074369">
        <w:t xml:space="preserve"> es una variable binaria que indica si la observación es antes o después de la adquisición</w:t>
      </w:r>
      <w:r w:rsidR="00535A57" w:rsidRPr="00074369">
        <w:t xml:space="preserve"> (febrero de 2018)</w:t>
      </w:r>
      <w:r w:rsidRPr="00074369">
        <w:t xml:space="preserve">. </w:t>
      </w:r>
      <m:oMath>
        <m:r>
          <w:rPr>
            <w:rFonts w:ascii="Cambria Math" w:hAnsi="Cambria Math"/>
          </w:rPr>
          <m:t>D_compra</m:t>
        </m:r>
      </m:oMath>
      <w:r w:rsidRPr="00074369">
        <w:t xml:space="preserve"> es una variable binaria que indica si la estación es parte del grupo de estaciones adquiridas.</w:t>
      </w:r>
      <w:r w:rsidR="000B5BA8" w:rsidRPr="00074369">
        <w:t xml:space="preserve"> De manera similar, </w:t>
      </w:r>
      <m:oMath>
        <m:r>
          <w:rPr>
            <w:rFonts w:ascii="Cambria Math" w:hAnsi="Cambria Math"/>
          </w:rPr>
          <m:t>D_vecina</m:t>
        </m:r>
      </m:oMath>
      <w:r w:rsidR="000B5BA8" w:rsidRPr="00074369">
        <w:t xml:space="preserve"> in</w:t>
      </w:r>
      <w:proofErr w:type="spellStart"/>
      <w:r w:rsidR="000B5BA8" w:rsidRPr="00074369">
        <w:t>dica</w:t>
      </w:r>
      <w:proofErr w:type="spellEnd"/>
      <w:r w:rsidR="000B5BA8" w:rsidRPr="00074369">
        <w:t xml:space="preserve"> si la estación </w:t>
      </w:r>
      <m:oMath>
        <m:r>
          <w:rPr>
            <w:rFonts w:ascii="Cambria Math" w:hAnsi="Cambria Math"/>
          </w:rPr>
          <m:t>i</m:t>
        </m:r>
      </m:oMath>
      <w:r w:rsidR="000B5BA8" w:rsidRPr="00074369">
        <w:t xml:space="preserve"> es vecina a una estación comprada.</w:t>
      </w:r>
      <w:r w:rsidRPr="00074369">
        <w:t xml:space="preserve"> </w:t>
      </w:r>
      <m:oMath>
        <m:r>
          <w:rPr>
            <w:rFonts w:ascii="Cambria Math" w:hAnsi="Cambria Math"/>
          </w:rPr>
          <m:t>β_1</m:t>
        </m:r>
      </m:oMath>
      <w:r w:rsidR="00535A57" w:rsidRPr="00074369">
        <w:t xml:space="preserve"> representa la diferencia de precios en niveles después y antes del tratamiento para las estaciones tratadas y de control. </w:t>
      </w:r>
      <m:oMath>
        <m:r>
          <w:rPr>
            <w:rFonts w:ascii="Cambria Math" w:hAnsi="Cambria Math"/>
          </w:rPr>
          <m:t>β_2</m:t>
        </m:r>
      </m:oMath>
      <w:r w:rsidR="00535A57" w:rsidRPr="00074369">
        <w:t xml:space="preserve"> captura la diferencia de precios entre las estaciones tratadas (de la cadena Pecsa) y las de control. </w:t>
      </w:r>
    </w:p>
    <w:p w14:paraId="409F8F06" w14:textId="6AFFA45E" w:rsidR="00535A57" w:rsidRPr="00074369" w:rsidRDefault="00535A57" w:rsidP="00D07F04">
      <w:r w:rsidRPr="00074369">
        <w:t xml:space="preserve">El coeficiente de interés es </w:t>
      </w:r>
      <m:oMath>
        <m:r>
          <w:rPr>
            <w:rFonts w:ascii="Cambria Math" w:hAnsi="Cambria Math"/>
          </w:rPr>
          <m:t>γ_1</m:t>
        </m:r>
      </m:oMath>
      <w:r w:rsidRPr="00074369">
        <w:t xml:space="preserve"> y representa el cambio de precios adicional en las estaciones tratadas con respecto a las de control, siendo atribuido a la adquisición por otro grupo minorista (Primax). En adición, añado efectos fijos por mes</w:t>
      </w:r>
      <w:r w:rsidR="009705DE" w:rsidRPr="00074369">
        <w:t xml:space="preserve"> y por distrito</w:t>
      </w:r>
      <w:r w:rsidRPr="00074369">
        <w:t xml:space="preserve">. </w:t>
      </w:r>
      <m:oMath>
        <m:r>
          <m:rPr>
            <m:sty m:val="p"/>
          </m:rPr>
          <w:rPr>
            <w:rFonts w:ascii="Cambria Math" w:hAnsi="Cambria Math"/>
          </w:rPr>
          <m:t>Φ</m:t>
        </m:r>
      </m:oMath>
      <w:r w:rsidR="009705DE" w:rsidRPr="00074369">
        <w:t xml:space="preserve"> </w:t>
      </w:r>
      <w:r w:rsidR="0093745D" w:rsidRPr="00074369">
        <w:t xml:space="preserve">controla por las características observables de </w:t>
      </w:r>
      <w:r w:rsidR="00793EFA" w:rsidRPr="00074369">
        <w:t>las estaciones</w:t>
      </w:r>
      <w:r w:rsidR="0093745D" w:rsidRPr="00074369">
        <w:t>.</w:t>
      </w:r>
    </w:p>
    <w:p w14:paraId="27ED1C16" w14:textId="25602E85" w:rsidR="009539C7" w:rsidRPr="00074369" w:rsidRDefault="00AD71D4" w:rsidP="00D07F04">
      <w:r w:rsidRPr="00074369">
        <w:br w:type="page"/>
      </w:r>
    </w:p>
    <w:p w14:paraId="59A531C1" w14:textId="5059885F" w:rsidR="0007726E" w:rsidRPr="00074369" w:rsidRDefault="0007726E" w:rsidP="0007726E">
      <w:pPr>
        <w:pStyle w:val="Ttulo1"/>
      </w:pPr>
      <w:bookmarkStart w:id="72" w:name="_Toc11178415"/>
      <w:r w:rsidRPr="00074369">
        <w:lastRenderedPageBreak/>
        <w:t>Resultados y Discusión</w:t>
      </w:r>
      <w:bookmarkEnd w:id="72"/>
    </w:p>
    <w:p w14:paraId="4906E229" w14:textId="78924FCD" w:rsidR="009A3452" w:rsidRPr="00074369" w:rsidRDefault="009A3452" w:rsidP="009A3452">
      <w:pPr>
        <w:pStyle w:val="Ttulo2"/>
      </w:pPr>
      <w:bookmarkStart w:id="73" w:name="_Toc9091668"/>
      <w:bookmarkStart w:id="74" w:name="_Toc9171080"/>
      <w:bookmarkStart w:id="75" w:name="_Toc11178416"/>
      <w:bookmarkStart w:id="76" w:name="_Toc9091669"/>
      <w:bookmarkStart w:id="77" w:name="_Toc9171081"/>
      <w:bookmarkStart w:id="78" w:name="_Toc11178417"/>
      <w:bookmarkStart w:id="79" w:name="_Toc9091670"/>
      <w:bookmarkStart w:id="80" w:name="_Toc9171082"/>
      <w:bookmarkStart w:id="81" w:name="_Toc11178418"/>
      <w:bookmarkStart w:id="82" w:name="_Toc9091671"/>
      <w:bookmarkStart w:id="83" w:name="_Toc9171083"/>
      <w:bookmarkStart w:id="84" w:name="_Toc11178419"/>
      <w:bookmarkStart w:id="85" w:name="_Toc9091674"/>
      <w:bookmarkStart w:id="86" w:name="_Toc9171086"/>
      <w:bookmarkStart w:id="87" w:name="_Toc11178422"/>
      <w:bookmarkStart w:id="88" w:name="_Toc9091836"/>
      <w:bookmarkStart w:id="89" w:name="_Toc9171248"/>
      <w:bookmarkStart w:id="90" w:name="_Toc11178584"/>
      <w:bookmarkStart w:id="91" w:name="_Toc9091842"/>
      <w:bookmarkStart w:id="92" w:name="_Toc9171254"/>
      <w:bookmarkStart w:id="93" w:name="_Toc11178590"/>
      <w:bookmarkStart w:id="94" w:name="_Toc9091843"/>
      <w:bookmarkStart w:id="95" w:name="_Toc9171255"/>
      <w:bookmarkStart w:id="96" w:name="_Toc11178591"/>
      <w:bookmarkStart w:id="97" w:name="_Toc9091844"/>
      <w:bookmarkStart w:id="98" w:name="_Toc9171256"/>
      <w:bookmarkStart w:id="99" w:name="_Toc11178592"/>
      <w:bookmarkStart w:id="100" w:name="_Toc9091847"/>
      <w:bookmarkStart w:id="101" w:name="_Toc9171259"/>
      <w:bookmarkStart w:id="102" w:name="_Toc11178595"/>
      <w:bookmarkStart w:id="103" w:name="_Toc9091967"/>
      <w:bookmarkStart w:id="104" w:name="_Toc9171379"/>
      <w:bookmarkStart w:id="105" w:name="_Toc11178715"/>
      <w:bookmarkStart w:id="106" w:name="_Toc9092005"/>
      <w:bookmarkStart w:id="107" w:name="_Toc9171417"/>
      <w:bookmarkStart w:id="108" w:name="_Toc11178753"/>
      <w:bookmarkStart w:id="109" w:name="_Toc9092010"/>
      <w:bookmarkStart w:id="110" w:name="_Toc9171422"/>
      <w:bookmarkStart w:id="111" w:name="_Toc11178758"/>
      <w:bookmarkStart w:id="112" w:name="_Toc9092011"/>
      <w:bookmarkStart w:id="113" w:name="_Toc9171423"/>
      <w:bookmarkStart w:id="114" w:name="_Toc11178759"/>
      <w:bookmarkStart w:id="115" w:name="_Toc9092012"/>
      <w:bookmarkStart w:id="116" w:name="_Toc9171424"/>
      <w:bookmarkStart w:id="117" w:name="_Toc11178760"/>
      <w:bookmarkStart w:id="118" w:name="_Toc9092013"/>
      <w:bookmarkStart w:id="119" w:name="_Toc9171425"/>
      <w:bookmarkStart w:id="120" w:name="_Toc11178761"/>
      <w:bookmarkStart w:id="121" w:name="_Toc9092014"/>
      <w:bookmarkStart w:id="122" w:name="_Toc9171426"/>
      <w:bookmarkStart w:id="123" w:name="_Toc11178762"/>
      <w:bookmarkStart w:id="124" w:name="_Toc9092015"/>
      <w:bookmarkStart w:id="125" w:name="_Toc9171427"/>
      <w:bookmarkStart w:id="126" w:name="_Toc11178763"/>
      <w:bookmarkStart w:id="127" w:name="_Toc9092016"/>
      <w:bookmarkStart w:id="128" w:name="_Toc9171428"/>
      <w:bookmarkStart w:id="129" w:name="_Toc11178764"/>
      <w:bookmarkStart w:id="130" w:name="_Toc9092055"/>
      <w:bookmarkStart w:id="131" w:name="_Toc9171467"/>
      <w:bookmarkStart w:id="132" w:name="_Toc11178803"/>
      <w:bookmarkStart w:id="133" w:name="_Toc9092056"/>
      <w:bookmarkStart w:id="134" w:name="_Toc9171468"/>
      <w:bookmarkStart w:id="135" w:name="_Toc11178804"/>
      <w:bookmarkStart w:id="136" w:name="_Toc9092057"/>
      <w:bookmarkStart w:id="137" w:name="_Toc9171469"/>
      <w:bookmarkStart w:id="138" w:name="_Toc11178805"/>
      <w:bookmarkStart w:id="139" w:name="_Toc9092058"/>
      <w:bookmarkStart w:id="140" w:name="_Toc9171470"/>
      <w:bookmarkStart w:id="141" w:name="_Toc11178806"/>
      <w:bookmarkStart w:id="142" w:name="_Toc9092059"/>
      <w:bookmarkStart w:id="143" w:name="_Toc9171471"/>
      <w:bookmarkStart w:id="144" w:name="_Toc11178807"/>
      <w:bookmarkStart w:id="145" w:name="_Toc9092060"/>
      <w:bookmarkStart w:id="146" w:name="_Toc9171472"/>
      <w:bookmarkStart w:id="147" w:name="_Toc11178808"/>
      <w:bookmarkStart w:id="148" w:name="_Toc9092211"/>
      <w:bookmarkStart w:id="149" w:name="_Toc9171623"/>
      <w:bookmarkStart w:id="150" w:name="_Toc11178959"/>
      <w:bookmarkStart w:id="151" w:name="_Toc9092212"/>
      <w:bookmarkStart w:id="152" w:name="_Toc9171624"/>
      <w:bookmarkStart w:id="153" w:name="_Toc11178960"/>
      <w:bookmarkStart w:id="154" w:name="_Toc9092213"/>
      <w:bookmarkStart w:id="155" w:name="_Toc9171625"/>
      <w:bookmarkStart w:id="156" w:name="_Toc11178961"/>
      <w:bookmarkStart w:id="157" w:name="_Toc9092364"/>
      <w:bookmarkStart w:id="158" w:name="_Toc9171776"/>
      <w:bookmarkStart w:id="159" w:name="_Toc11179112"/>
      <w:bookmarkStart w:id="160" w:name="_Toc9092365"/>
      <w:bookmarkStart w:id="161" w:name="_Toc9171777"/>
      <w:bookmarkStart w:id="162" w:name="_Toc11179113"/>
      <w:bookmarkStart w:id="163" w:name="_Toc9092366"/>
      <w:bookmarkStart w:id="164" w:name="_Toc9171778"/>
      <w:bookmarkStart w:id="165" w:name="_Toc11179114"/>
      <w:bookmarkStart w:id="166" w:name="_Toc9092367"/>
      <w:bookmarkStart w:id="167" w:name="_Toc9171779"/>
      <w:bookmarkStart w:id="168" w:name="_Toc11179115"/>
      <w:bookmarkStart w:id="169" w:name="_Toc9092368"/>
      <w:bookmarkStart w:id="170" w:name="_Toc9171780"/>
      <w:bookmarkStart w:id="171" w:name="_Toc11179116"/>
      <w:bookmarkStart w:id="172" w:name="_Toc9092369"/>
      <w:bookmarkStart w:id="173" w:name="_Toc9171781"/>
      <w:bookmarkStart w:id="174" w:name="_Toc11179117"/>
      <w:bookmarkStart w:id="175" w:name="_Toc1117911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074369">
        <w:t>Estimación por efectos fijos</w:t>
      </w:r>
      <w:bookmarkEnd w:id="175"/>
    </w:p>
    <w:p w14:paraId="200C556C" w14:textId="2055F559" w:rsidR="009A3452" w:rsidRPr="00074369" w:rsidRDefault="009A3452" w:rsidP="009A3452">
      <w:r w:rsidRPr="00074369">
        <w:t xml:space="preserve">Los resultados de la estimación por efectos fijos se muestran en la </w:t>
      </w:r>
      <w:r w:rsidRPr="00074369">
        <w:fldChar w:fldCharType="begin"/>
      </w:r>
      <w:r w:rsidRPr="00074369">
        <w:instrText xml:space="preserve"> REF _Ref6347319 \h </w:instrText>
      </w:r>
      <w:r w:rsidRPr="00074369">
        <w:fldChar w:fldCharType="separate"/>
      </w:r>
      <w:r w:rsidR="004C0429" w:rsidRPr="00074369">
        <w:t xml:space="preserve">Tabla </w:t>
      </w:r>
      <w:r w:rsidR="004C0429">
        <w:rPr>
          <w:noProof/>
        </w:rPr>
        <w:t>3</w:t>
      </w:r>
      <w:r w:rsidRPr="00074369">
        <w:fldChar w:fldCharType="end"/>
      </w:r>
      <w:r w:rsidRPr="00074369">
        <w:t xml:space="preserve">. En el corto plazo, evaluando los datos tres meses antes y después de la compra, vemos que las estaciones de Pecsa cobraron </w:t>
      </w:r>
      <w:r w:rsidR="003B2467" w:rsidRPr="00074369">
        <w:t>9</w:t>
      </w:r>
      <w:r w:rsidRPr="00074369">
        <w:t xml:space="preserve"> centavos de sol </w:t>
      </w:r>
      <w:r w:rsidR="003B2467" w:rsidRPr="00074369">
        <w:t>más</w:t>
      </w:r>
      <w:r w:rsidRPr="00074369">
        <w:t xml:space="preserve"> en promedio luego de la compra</w:t>
      </w:r>
      <w:r w:rsidR="003B2467" w:rsidRPr="00074369">
        <w:t xml:space="preserve"> en el caso del </w:t>
      </w:r>
      <w:proofErr w:type="spellStart"/>
      <w:r w:rsidR="003B2467" w:rsidRPr="00074369">
        <w:t>gasohol</w:t>
      </w:r>
      <w:proofErr w:type="spellEnd"/>
      <w:r w:rsidR="003B2467" w:rsidRPr="00074369">
        <w:t>, en tanto que para el diésel el valor no es significativo</w:t>
      </w:r>
      <w:r w:rsidRPr="00074369">
        <w:t xml:space="preserve">. </w:t>
      </w:r>
      <w:r w:rsidR="00A314E8" w:rsidRPr="00074369">
        <w:t>Sin embargo, cuando se considera mayor tiempo luego de la adquisición, el efecto de la compra se vuelve positivo y significativo al 1%</w:t>
      </w:r>
      <w:r w:rsidR="003B2467" w:rsidRPr="00074369">
        <w:t xml:space="preserve"> tanto para el diésel como para el </w:t>
      </w:r>
      <w:proofErr w:type="spellStart"/>
      <w:r w:rsidR="003B2467" w:rsidRPr="00074369">
        <w:t>gasohol</w:t>
      </w:r>
      <w:proofErr w:type="spellEnd"/>
      <w:r w:rsidR="00A314E8" w:rsidRPr="00074369">
        <w:t xml:space="preserve">, con las estaciones compradas incrementando su precio en </w:t>
      </w:r>
      <w:r w:rsidR="003B2467" w:rsidRPr="00074369">
        <w:t>9 centavos por galón para el primer combustible y 12 centavos para el segundo</w:t>
      </w:r>
      <w:r w:rsidR="00A314E8" w:rsidRPr="00074369">
        <w:t>.</w:t>
      </w:r>
    </w:p>
    <w:p w14:paraId="1792C4FC" w14:textId="0C061736" w:rsidR="009A3452" w:rsidRPr="00074369" w:rsidRDefault="009A3452" w:rsidP="009A3452">
      <w:pPr>
        <w:pStyle w:val="Descripcin"/>
      </w:pPr>
      <w:bookmarkStart w:id="176" w:name="_Ref6347319"/>
      <w:bookmarkStart w:id="177" w:name="_Toc6348802"/>
      <w:bookmarkStart w:id="178" w:name="_Toc9171794"/>
      <w:r w:rsidRPr="00074369">
        <w:t xml:space="preserve">Tabla </w:t>
      </w:r>
      <w:r w:rsidRPr="00074369">
        <w:fldChar w:fldCharType="begin"/>
      </w:r>
      <w:r w:rsidRPr="00074369">
        <w:instrText xml:space="preserve"> SEQ Tabla \* ARABIC </w:instrText>
      </w:r>
      <w:r w:rsidRPr="00074369">
        <w:fldChar w:fldCharType="separate"/>
      </w:r>
      <w:r w:rsidR="004C0429">
        <w:rPr>
          <w:noProof/>
        </w:rPr>
        <w:t>3</w:t>
      </w:r>
      <w:r w:rsidRPr="00074369">
        <w:fldChar w:fldCharType="end"/>
      </w:r>
      <w:bookmarkEnd w:id="176"/>
      <w:r w:rsidRPr="00074369">
        <w:t>: Estimación por efectos fijos a nivel de estación y de tiempo</w:t>
      </w:r>
      <w:bookmarkEnd w:id="177"/>
      <w:bookmarkEnd w:id="178"/>
      <w:r w:rsidR="00D32E14" w:rsidRPr="00074369">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0F2A85" w:rsidRPr="00074369" w14:paraId="214D2818" w14:textId="77777777" w:rsidTr="000F2A85">
        <w:trPr>
          <w:trHeight w:val="57"/>
        </w:trPr>
        <w:tc>
          <w:tcPr>
            <w:tcW w:w="1701" w:type="dxa"/>
            <w:vMerge w:val="restart"/>
            <w:tcBorders>
              <w:top w:val="single" w:sz="12" w:space="0" w:color="auto"/>
            </w:tcBorders>
            <w:hideMark/>
          </w:tcPr>
          <w:p w14:paraId="267D7C87" w14:textId="77777777" w:rsidR="000F2A85" w:rsidRPr="00074369" w:rsidRDefault="000F2A85" w:rsidP="005B24F0">
            <w:pPr>
              <w:spacing w:after="0" w:line="240" w:lineRule="auto"/>
              <w:jc w:val="left"/>
            </w:pPr>
          </w:p>
        </w:tc>
        <w:tc>
          <w:tcPr>
            <w:tcW w:w="3189" w:type="dxa"/>
            <w:gridSpan w:val="2"/>
            <w:tcBorders>
              <w:top w:val="single" w:sz="12" w:space="0" w:color="auto"/>
            </w:tcBorders>
            <w:hideMark/>
          </w:tcPr>
          <w:p w14:paraId="371F0DDA" w14:textId="77777777" w:rsidR="000F2A85" w:rsidRPr="00074369" w:rsidRDefault="000F2A85" w:rsidP="00B97460">
            <w:pPr>
              <w:spacing w:after="0" w:line="240" w:lineRule="auto"/>
              <w:jc w:val="center"/>
            </w:pPr>
            <w:r w:rsidRPr="00074369">
              <w:rPr>
                <w:rFonts w:cstheme="minorHAnsi"/>
                <w:color w:val="000000" w:themeColor="text1"/>
                <w:kern w:val="24"/>
                <w:szCs w:val="20"/>
              </w:rPr>
              <w:t>Diésel (soles/galón)</w:t>
            </w:r>
          </w:p>
        </w:tc>
        <w:tc>
          <w:tcPr>
            <w:tcW w:w="3190" w:type="dxa"/>
            <w:gridSpan w:val="2"/>
            <w:tcBorders>
              <w:top w:val="single" w:sz="12" w:space="0" w:color="auto"/>
            </w:tcBorders>
            <w:hideMark/>
          </w:tcPr>
          <w:p w14:paraId="3D63309F" w14:textId="77777777" w:rsidR="000F2A85" w:rsidRPr="00074369" w:rsidRDefault="000F2A85" w:rsidP="00B97460">
            <w:pPr>
              <w:spacing w:after="0" w:line="240" w:lineRule="auto"/>
              <w:jc w:val="center"/>
            </w:pPr>
            <w:proofErr w:type="spellStart"/>
            <w:r w:rsidRPr="00074369">
              <w:rPr>
                <w:rFonts w:cstheme="minorHAnsi"/>
                <w:color w:val="000000" w:themeColor="text1"/>
                <w:kern w:val="24"/>
                <w:szCs w:val="20"/>
              </w:rPr>
              <w:t>Gasohol</w:t>
            </w:r>
            <w:proofErr w:type="spellEnd"/>
            <w:r w:rsidRPr="00074369">
              <w:rPr>
                <w:rFonts w:cstheme="minorHAnsi"/>
                <w:color w:val="000000" w:themeColor="text1"/>
                <w:kern w:val="24"/>
                <w:szCs w:val="20"/>
              </w:rPr>
              <w:t xml:space="preserve"> 90 (soles/galón)</w:t>
            </w:r>
          </w:p>
        </w:tc>
      </w:tr>
      <w:tr w:rsidR="00197DD0" w:rsidRPr="00074369" w14:paraId="58B04C09" w14:textId="77777777" w:rsidTr="000F2A85">
        <w:trPr>
          <w:trHeight w:val="57"/>
        </w:trPr>
        <w:tc>
          <w:tcPr>
            <w:tcW w:w="1701" w:type="dxa"/>
            <w:vMerge/>
            <w:tcBorders>
              <w:bottom w:val="single" w:sz="4" w:space="0" w:color="auto"/>
            </w:tcBorders>
            <w:hideMark/>
          </w:tcPr>
          <w:p w14:paraId="669680DE" w14:textId="77777777" w:rsidR="00197DD0" w:rsidRPr="00074369" w:rsidRDefault="00197DD0" w:rsidP="00197DD0">
            <w:pPr>
              <w:spacing w:after="0" w:line="240" w:lineRule="auto"/>
              <w:jc w:val="left"/>
              <w:rPr>
                <w:rFonts w:cstheme="minorHAnsi"/>
                <w:szCs w:val="20"/>
              </w:rPr>
            </w:pPr>
          </w:p>
        </w:tc>
        <w:tc>
          <w:tcPr>
            <w:tcW w:w="1594" w:type="dxa"/>
            <w:tcBorders>
              <w:bottom w:val="single" w:sz="4" w:space="0" w:color="auto"/>
            </w:tcBorders>
            <w:hideMark/>
          </w:tcPr>
          <w:p w14:paraId="36DAC05B"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11238A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c>
          <w:tcPr>
            <w:tcW w:w="1595" w:type="dxa"/>
            <w:tcBorders>
              <w:bottom w:val="single" w:sz="4" w:space="0" w:color="auto"/>
            </w:tcBorders>
            <w:hideMark/>
          </w:tcPr>
          <w:p w14:paraId="33133C99"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40897B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r>
      <w:tr w:rsidR="00197DD0" w:rsidRPr="00074369" w14:paraId="5CD98650" w14:textId="77777777" w:rsidTr="00380362">
        <w:trPr>
          <w:trHeight w:val="57"/>
        </w:trPr>
        <w:tc>
          <w:tcPr>
            <w:tcW w:w="1701" w:type="dxa"/>
            <w:tcBorders>
              <w:top w:val="single" w:sz="4" w:space="0" w:color="auto"/>
            </w:tcBorders>
            <w:hideMark/>
          </w:tcPr>
          <w:p w14:paraId="7E61D895" w14:textId="2778FBFF" w:rsidR="00197DD0" w:rsidRPr="00074369" w:rsidRDefault="00197DD0" w:rsidP="005B24F0">
            <w:pPr>
              <w:spacing w:after="0" w:line="240" w:lineRule="auto"/>
              <w:jc w:val="left"/>
            </w:pPr>
            <w:r w:rsidRPr="00074369">
              <w:rPr>
                <w:rFonts w:cstheme="minorHAnsi"/>
                <w:color w:val="000000" w:themeColor="text1"/>
                <w:kern w:val="24"/>
                <w:szCs w:val="20"/>
              </w:rPr>
              <w:t>PRIMAX</w:t>
            </w:r>
          </w:p>
        </w:tc>
        <w:tc>
          <w:tcPr>
            <w:tcW w:w="1594" w:type="dxa"/>
            <w:tcBorders>
              <w:top w:val="single" w:sz="4" w:space="0" w:color="auto"/>
            </w:tcBorders>
            <w:hideMark/>
          </w:tcPr>
          <w:p w14:paraId="0ABED673" w14:textId="64F8B245"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(0.023)</w:t>
            </w:r>
          </w:p>
        </w:tc>
        <w:tc>
          <w:tcPr>
            <w:tcW w:w="1595" w:type="dxa"/>
            <w:tcBorders>
              <w:top w:val="single" w:sz="4" w:space="0" w:color="auto"/>
            </w:tcBorders>
            <w:vAlign w:val="center"/>
            <w:hideMark/>
          </w:tcPr>
          <w:p w14:paraId="5635B93E" w14:textId="19AB0B6E"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025 (0.022</w:t>
            </w:r>
            <w:r w:rsidRPr="00074369">
              <w:rPr>
                <w:color w:val="000000" w:themeColor="text1"/>
                <w:kern w:val="24"/>
              </w:rPr>
              <w:t>)</w:t>
            </w:r>
          </w:p>
        </w:tc>
        <w:tc>
          <w:tcPr>
            <w:tcW w:w="1595" w:type="dxa"/>
            <w:tcBorders>
              <w:top w:val="single" w:sz="4" w:space="0" w:color="auto"/>
            </w:tcBorders>
            <w:vAlign w:val="center"/>
            <w:hideMark/>
          </w:tcPr>
          <w:p w14:paraId="66105397" w14:textId="7138610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123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(0.045)</w:t>
            </w:r>
          </w:p>
        </w:tc>
        <w:tc>
          <w:tcPr>
            <w:tcW w:w="1595" w:type="dxa"/>
            <w:tcBorders>
              <w:top w:val="single" w:sz="4" w:space="0" w:color="auto"/>
            </w:tcBorders>
            <w:vAlign w:val="center"/>
            <w:hideMark/>
          </w:tcPr>
          <w:p w14:paraId="1B63C06B" w14:textId="614A4E1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(0.047</w:t>
            </w:r>
            <w:r w:rsidRPr="00074369">
              <w:rPr>
                <w:color w:val="000000" w:themeColor="text1"/>
                <w:kern w:val="24"/>
              </w:rPr>
              <w:t>)</w:t>
            </w:r>
          </w:p>
        </w:tc>
      </w:tr>
      <w:tr w:rsidR="00197DD0" w:rsidRPr="00074369" w14:paraId="6A1D518D" w14:textId="77777777" w:rsidTr="00380362">
        <w:trPr>
          <w:trHeight w:val="57"/>
        </w:trPr>
        <w:tc>
          <w:tcPr>
            <w:tcW w:w="1701" w:type="dxa"/>
            <w:hideMark/>
          </w:tcPr>
          <w:p w14:paraId="200282CE" w14:textId="36754457" w:rsidR="00197DD0" w:rsidRPr="00074369" w:rsidRDefault="00197DD0" w:rsidP="005B24F0">
            <w:pPr>
              <w:spacing w:after="0" w:line="240" w:lineRule="auto"/>
              <w:jc w:val="left"/>
            </w:pPr>
            <w:r w:rsidRPr="00074369">
              <w:rPr>
                <w:rFonts w:cstheme="minorHAnsi"/>
                <w:color w:val="000000" w:themeColor="text1"/>
                <w:kern w:val="24"/>
                <w:szCs w:val="20"/>
              </w:rPr>
              <w:t>CONTRATO</w:t>
            </w:r>
          </w:p>
        </w:tc>
        <w:tc>
          <w:tcPr>
            <w:tcW w:w="1594" w:type="dxa"/>
            <w:hideMark/>
          </w:tcPr>
          <w:p w14:paraId="1B60E737" w14:textId="5CDF7DB0"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 xml:space="preserve">013 </w:t>
            </w:r>
            <w:r w:rsidR="00B55BE9" w:rsidRPr="00074369">
              <w:rPr>
                <w:rFonts w:cstheme="minorHAnsi"/>
                <w:color w:val="000000" w:themeColor="text1"/>
                <w:kern w:val="24"/>
                <w:szCs w:val="20"/>
              </w:rPr>
              <w:t xml:space="preserve"> </w:t>
            </w:r>
            <w:r w:rsidRPr="00074369">
              <w:rPr>
                <w:rFonts w:cstheme="minorHAnsi"/>
                <w:color w:val="000000" w:themeColor="text1"/>
                <w:kern w:val="24"/>
                <w:szCs w:val="20"/>
              </w:rPr>
              <w:t>(0.055)</w:t>
            </w:r>
          </w:p>
        </w:tc>
        <w:tc>
          <w:tcPr>
            <w:tcW w:w="1595" w:type="dxa"/>
            <w:vAlign w:val="center"/>
            <w:hideMark/>
          </w:tcPr>
          <w:p w14:paraId="6F92DC4E" w14:textId="7A90E7B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004 (0.028</w:t>
            </w:r>
            <w:r w:rsidRPr="00074369">
              <w:rPr>
                <w:color w:val="000000" w:themeColor="text1"/>
                <w:kern w:val="24"/>
              </w:rPr>
              <w:t>)</w:t>
            </w:r>
          </w:p>
        </w:tc>
        <w:tc>
          <w:tcPr>
            <w:tcW w:w="1595" w:type="dxa"/>
            <w:vAlign w:val="center"/>
            <w:hideMark/>
          </w:tcPr>
          <w:p w14:paraId="701A866F" w14:textId="24166B51"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064 (0.060)</w:t>
            </w:r>
          </w:p>
        </w:tc>
        <w:tc>
          <w:tcPr>
            <w:tcW w:w="1595" w:type="dxa"/>
            <w:vAlign w:val="center"/>
            <w:hideMark/>
          </w:tcPr>
          <w:p w14:paraId="44A431F5" w14:textId="5CBFD78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043 (0.040</w:t>
            </w:r>
            <w:r w:rsidRPr="00074369">
              <w:rPr>
                <w:color w:val="000000" w:themeColor="text1"/>
                <w:kern w:val="24"/>
              </w:rPr>
              <w:t>)</w:t>
            </w:r>
          </w:p>
        </w:tc>
      </w:tr>
      <w:tr w:rsidR="00197DD0" w:rsidRPr="00074369" w14:paraId="1994FF56" w14:textId="77777777" w:rsidTr="00380362">
        <w:trPr>
          <w:trHeight w:val="57"/>
        </w:trPr>
        <w:tc>
          <w:tcPr>
            <w:tcW w:w="1701" w:type="dxa"/>
            <w:hideMark/>
          </w:tcPr>
          <w:p w14:paraId="01CE8E5B" w14:textId="15220874" w:rsidR="00197DD0" w:rsidRPr="00074369" w:rsidRDefault="00197DD0" w:rsidP="005B24F0">
            <w:pPr>
              <w:spacing w:after="0" w:line="240" w:lineRule="auto"/>
              <w:jc w:val="left"/>
            </w:pPr>
            <w:r w:rsidRPr="00074369">
              <w:rPr>
                <w:rFonts w:cstheme="minorHAnsi"/>
                <w:color w:val="000000" w:themeColor="text1"/>
                <w:kern w:val="24"/>
                <w:szCs w:val="20"/>
              </w:rPr>
              <w:t>VECINO</w:t>
            </w:r>
          </w:p>
        </w:tc>
        <w:tc>
          <w:tcPr>
            <w:tcW w:w="1594" w:type="dxa"/>
            <w:hideMark/>
          </w:tcPr>
          <w:p w14:paraId="6C37DD65" w14:textId="55AAF6DF"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015 (0.028)</w:t>
            </w:r>
          </w:p>
        </w:tc>
        <w:tc>
          <w:tcPr>
            <w:tcW w:w="1595" w:type="dxa"/>
            <w:vAlign w:val="center"/>
            <w:hideMark/>
          </w:tcPr>
          <w:p w14:paraId="36356F92" w14:textId="607419C4"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036</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(0.017</w:t>
            </w:r>
            <w:r w:rsidRPr="00074369">
              <w:rPr>
                <w:color w:val="000000" w:themeColor="text1"/>
                <w:kern w:val="24"/>
              </w:rPr>
              <w:t>)</w:t>
            </w:r>
          </w:p>
        </w:tc>
        <w:tc>
          <w:tcPr>
            <w:tcW w:w="1595" w:type="dxa"/>
            <w:vAlign w:val="center"/>
            <w:hideMark/>
          </w:tcPr>
          <w:p w14:paraId="3B05F29B" w14:textId="5B2C377B"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054</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(0.032)</w:t>
            </w:r>
          </w:p>
        </w:tc>
        <w:tc>
          <w:tcPr>
            <w:tcW w:w="1595" w:type="dxa"/>
            <w:vAlign w:val="center"/>
            <w:hideMark/>
          </w:tcPr>
          <w:p w14:paraId="6E38F17B" w14:textId="5D609EC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027 (0.030</w:t>
            </w:r>
            <w:r w:rsidRPr="00074369">
              <w:rPr>
                <w:color w:val="000000" w:themeColor="text1"/>
                <w:kern w:val="24"/>
              </w:rPr>
              <w:t>)</w:t>
            </w:r>
          </w:p>
        </w:tc>
      </w:tr>
      <w:tr w:rsidR="00197DD0" w:rsidRPr="00074369" w14:paraId="5F17E6E3" w14:textId="77777777" w:rsidTr="00380362">
        <w:trPr>
          <w:trHeight w:val="57"/>
        </w:trPr>
        <w:tc>
          <w:tcPr>
            <w:tcW w:w="1701" w:type="dxa"/>
            <w:hideMark/>
          </w:tcPr>
          <w:p w14:paraId="04143F44" w14:textId="51D6CAFC" w:rsidR="00197DD0" w:rsidRPr="00074369" w:rsidRDefault="00197DD0" w:rsidP="005B24F0">
            <w:pPr>
              <w:spacing w:after="0" w:line="240" w:lineRule="auto"/>
              <w:jc w:val="left"/>
            </w:pPr>
            <w:r w:rsidRPr="00074369">
              <w:rPr>
                <w:rFonts w:cstheme="minorHAnsi"/>
                <w:color w:val="000000" w:themeColor="text1"/>
                <w:kern w:val="24"/>
                <w:szCs w:val="20"/>
              </w:rPr>
              <w:t>SC</w:t>
            </w:r>
          </w:p>
        </w:tc>
        <w:tc>
          <w:tcPr>
            <w:tcW w:w="1594" w:type="dxa"/>
            <w:hideMark/>
          </w:tcPr>
          <w:p w14:paraId="17CBCFF3" w14:textId="3836180A"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141</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(0.065)</w:t>
            </w:r>
          </w:p>
        </w:tc>
        <w:tc>
          <w:tcPr>
            <w:tcW w:w="1595" w:type="dxa"/>
            <w:vAlign w:val="center"/>
            <w:hideMark/>
          </w:tcPr>
          <w:p w14:paraId="00F55241" w14:textId="08213EA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044 (0.047</w:t>
            </w:r>
            <w:r w:rsidRPr="00074369">
              <w:rPr>
                <w:color w:val="000000" w:themeColor="text1"/>
                <w:kern w:val="24"/>
              </w:rPr>
              <w:t>)</w:t>
            </w:r>
          </w:p>
        </w:tc>
        <w:tc>
          <w:tcPr>
            <w:tcW w:w="1595" w:type="dxa"/>
            <w:vAlign w:val="center"/>
            <w:hideMark/>
          </w:tcPr>
          <w:p w14:paraId="5E614B32" w14:textId="7E6CA33E"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062 (0.079)</w:t>
            </w:r>
          </w:p>
        </w:tc>
        <w:tc>
          <w:tcPr>
            <w:tcW w:w="1595" w:type="dxa"/>
            <w:vAlign w:val="center"/>
            <w:hideMark/>
          </w:tcPr>
          <w:p w14:paraId="558EB739" w14:textId="529C13E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007 (0.078</w:t>
            </w:r>
            <w:r w:rsidRPr="00074369">
              <w:rPr>
                <w:color w:val="000000" w:themeColor="text1"/>
                <w:kern w:val="24"/>
              </w:rPr>
              <w:t>)</w:t>
            </w:r>
          </w:p>
        </w:tc>
      </w:tr>
      <w:tr w:rsidR="00197DD0" w:rsidRPr="00074369" w14:paraId="2C7A0BED" w14:textId="77777777" w:rsidTr="00380362">
        <w:trPr>
          <w:trHeight w:val="57"/>
        </w:trPr>
        <w:tc>
          <w:tcPr>
            <w:tcW w:w="1701" w:type="dxa"/>
            <w:hideMark/>
          </w:tcPr>
          <w:p w14:paraId="330182DC" w14:textId="48B35BBB" w:rsidR="00197DD0" w:rsidRPr="00074369" w:rsidRDefault="00197DD0" w:rsidP="005B24F0">
            <w:pPr>
              <w:spacing w:after="0" w:line="240" w:lineRule="auto"/>
              <w:jc w:val="left"/>
            </w:pPr>
            <w:r w:rsidRPr="00074369">
              <w:rPr>
                <w:rFonts w:cstheme="minorHAnsi"/>
                <w:color w:val="000000" w:themeColor="text1"/>
                <w:kern w:val="24"/>
                <w:szCs w:val="20"/>
              </w:rPr>
              <w:t>¿Dummies por mes?</w:t>
            </w:r>
          </w:p>
        </w:tc>
        <w:tc>
          <w:tcPr>
            <w:tcW w:w="1594" w:type="dxa"/>
            <w:hideMark/>
          </w:tcPr>
          <w:p w14:paraId="5C05F714" w14:textId="77777777" w:rsidR="00197DD0" w:rsidRPr="00074369" w:rsidRDefault="00197DD0" w:rsidP="00B97460">
            <w:pPr>
              <w:spacing w:after="0" w:line="240" w:lineRule="auto"/>
              <w:jc w:val="left"/>
            </w:pPr>
            <w:r w:rsidRPr="00074369">
              <w:rPr>
                <w:color w:val="000000" w:themeColor="text1"/>
                <w:kern w:val="24"/>
              </w:rPr>
              <w:t>Sí</w:t>
            </w:r>
          </w:p>
        </w:tc>
        <w:tc>
          <w:tcPr>
            <w:tcW w:w="1595" w:type="dxa"/>
            <w:vAlign w:val="center"/>
            <w:hideMark/>
          </w:tcPr>
          <w:p w14:paraId="6BE4AD34" w14:textId="77777777" w:rsidR="00197DD0" w:rsidRPr="00074369" w:rsidRDefault="00197DD0" w:rsidP="00380362">
            <w:pPr>
              <w:spacing w:after="0" w:line="240" w:lineRule="auto"/>
              <w:jc w:val="left"/>
            </w:pPr>
            <w:r w:rsidRPr="00074369">
              <w:rPr>
                <w:color w:val="000000" w:themeColor="text1"/>
                <w:kern w:val="24"/>
              </w:rPr>
              <w:t>Sí</w:t>
            </w:r>
          </w:p>
        </w:tc>
        <w:tc>
          <w:tcPr>
            <w:tcW w:w="1595" w:type="dxa"/>
            <w:vAlign w:val="center"/>
            <w:hideMark/>
          </w:tcPr>
          <w:p w14:paraId="3ED59628"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c>
          <w:tcPr>
            <w:tcW w:w="1595" w:type="dxa"/>
            <w:vAlign w:val="center"/>
            <w:hideMark/>
          </w:tcPr>
          <w:p w14:paraId="22EE5686"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r>
      <w:tr w:rsidR="00197DD0" w:rsidRPr="00074369" w14:paraId="40C3EE0C" w14:textId="77777777" w:rsidTr="00380362">
        <w:trPr>
          <w:trHeight w:val="57"/>
        </w:trPr>
        <w:tc>
          <w:tcPr>
            <w:tcW w:w="1701" w:type="dxa"/>
            <w:hideMark/>
          </w:tcPr>
          <w:p w14:paraId="6128543E" w14:textId="23D2E93B" w:rsidR="00197DD0" w:rsidRPr="00074369" w:rsidRDefault="00B55BE9" w:rsidP="005B24F0">
            <w:pPr>
              <w:spacing w:after="0" w:line="240" w:lineRule="auto"/>
              <w:jc w:val="left"/>
            </w:pPr>
            <w:r w:rsidRPr="00074369">
              <w:rPr>
                <w:rFonts w:cstheme="minorHAnsi"/>
                <w:color w:val="000000" w:themeColor="text1"/>
                <w:kern w:val="24"/>
                <w:szCs w:val="20"/>
              </w:rPr>
              <w:t>Observaciones</w:t>
            </w:r>
          </w:p>
        </w:tc>
        <w:tc>
          <w:tcPr>
            <w:tcW w:w="1594" w:type="dxa"/>
            <w:hideMark/>
          </w:tcPr>
          <w:p w14:paraId="6334C3DC" w14:textId="6D4A3D2B" w:rsidR="00197DD0" w:rsidRPr="00074369" w:rsidRDefault="00197DD0" w:rsidP="00B97460">
            <w:pPr>
              <w:spacing w:after="0" w:line="240" w:lineRule="auto"/>
              <w:jc w:val="left"/>
            </w:pPr>
            <w:r w:rsidRPr="00074369">
              <w:rPr>
                <w:rFonts w:cstheme="minorHAnsi"/>
                <w:color w:val="000000" w:themeColor="text1"/>
                <w:kern w:val="24"/>
                <w:szCs w:val="20"/>
              </w:rPr>
              <w:t>7,722</w:t>
            </w:r>
          </w:p>
        </w:tc>
        <w:tc>
          <w:tcPr>
            <w:tcW w:w="1595" w:type="dxa"/>
            <w:vAlign w:val="center"/>
            <w:hideMark/>
          </w:tcPr>
          <w:p w14:paraId="7A4AB9FE" w14:textId="5419986D" w:rsidR="00197DD0" w:rsidRPr="00074369" w:rsidRDefault="00197DD0" w:rsidP="00380362">
            <w:pPr>
              <w:spacing w:after="0" w:line="240" w:lineRule="auto"/>
              <w:jc w:val="left"/>
            </w:pPr>
            <w:r w:rsidRPr="00074369">
              <w:rPr>
                <w:rFonts w:cstheme="minorHAnsi"/>
                <w:color w:val="000000" w:themeColor="text1"/>
                <w:kern w:val="24"/>
                <w:szCs w:val="20"/>
              </w:rPr>
              <w:t>2,574</w:t>
            </w:r>
          </w:p>
        </w:tc>
        <w:tc>
          <w:tcPr>
            <w:tcW w:w="1595" w:type="dxa"/>
            <w:vAlign w:val="center"/>
            <w:hideMark/>
          </w:tcPr>
          <w:p w14:paraId="1FCE34C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7,704</w:t>
            </w:r>
          </w:p>
        </w:tc>
        <w:tc>
          <w:tcPr>
            <w:tcW w:w="1595" w:type="dxa"/>
            <w:vAlign w:val="center"/>
            <w:hideMark/>
          </w:tcPr>
          <w:p w14:paraId="44CB27D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2,568</w:t>
            </w:r>
          </w:p>
        </w:tc>
      </w:tr>
      <w:tr w:rsidR="00197DD0" w:rsidRPr="00074369" w14:paraId="29F84DC3" w14:textId="77777777" w:rsidTr="00380362">
        <w:trPr>
          <w:trHeight w:val="57"/>
        </w:trPr>
        <w:tc>
          <w:tcPr>
            <w:tcW w:w="1701" w:type="dxa"/>
            <w:hideMark/>
          </w:tcPr>
          <w:p w14:paraId="10ED46E3" w14:textId="1EDF86EA" w:rsidR="00197DD0" w:rsidRPr="00074369" w:rsidRDefault="00197DD0" w:rsidP="005B24F0">
            <w:pPr>
              <w:spacing w:after="0" w:line="240" w:lineRule="auto"/>
              <w:jc w:val="left"/>
            </w:pPr>
            <w:r w:rsidRPr="00074369">
              <w:rPr>
                <w:color w:val="000000" w:themeColor="text1"/>
                <w:kern w:val="24"/>
              </w:rPr>
              <w:t>R</w:t>
            </w:r>
            <w:r w:rsidRPr="00074369">
              <w:rPr>
                <w:color w:val="000000" w:themeColor="text1"/>
                <w:kern w:val="24"/>
                <w:position w:val="7"/>
                <w:vertAlign w:val="superscript"/>
              </w:rPr>
              <w:t>2</w:t>
            </w:r>
            <w:r w:rsidR="00B55BE9" w:rsidRPr="00074369">
              <w:rPr>
                <w:color w:val="000000" w:themeColor="text1"/>
                <w:kern w:val="24"/>
                <w:position w:val="7"/>
                <w:vertAlign w:val="superscript"/>
              </w:rPr>
              <w:t xml:space="preserve"> </w:t>
            </w:r>
            <w:r w:rsidR="00B55BE9" w:rsidRPr="00074369">
              <w:rPr>
                <w:rFonts w:cstheme="minorHAnsi"/>
                <w:color w:val="000000" w:themeColor="text1"/>
                <w:kern w:val="24"/>
                <w:szCs w:val="20"/>
              </w:rPr>
              <w:t>ajustado</w:t>
            </w:r>
          </w:p>
        </w:tc>
        <w:tc>
          <w:tcPr>
            <w:tcW w:w="1594" w:type="dxa"/>
            <w:hideMark/>
          </w:tcPr>
          <w:p w14:paraId="79C5254D" w14:textId="00477D47"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931</w:t>
            </w:r>
          </w:p>
        </w:tc>
        <w:tc>
          <w:tcPr>
            <w:tcW w:w="1595" w:type="dxa"/>
            <w:vAlign w:val="center"/>
            <w:hideMark/>
          </w:tcPr>
          <w:p w14:paraId="1B34F153" w14:textId="77777777" w:rsidR="00197DD0" w:rsidRPr="00074369" w:rsidRDefault="00197DD0" w:rsidP="00380362">
            <w:pPr>
              <w:spacing w:after="0" w:line="240" w:lineRule="auto"/>
              <w:jc w:val="left"/>
            </w:pPr>
            <w:r w:rsidRPr="00074369">
              <w:rPr>
                <w:rFonts w:cstheme="minorHAnsi"/>
                <w:color w:val="000000" w:themeColor="text1"/>
                <w:kern w:val="24"/>
                <w:szCs w:val="20"/>
              </w:rPr>
              <w:t>0.632</w:t>
            </w:r>
          </w:p>
        </w:tc>
        <w:tc>
          <w:tcPr>
            <w:tcW w:w="1595" w:type="dxa"/>
            <w:vAlign w:val="center"/>
            <w:hideMark/>
          </w:tcPr>
          <w:p w14:paraId="591AC010" w14:textId="519DBE1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836</w:t>
            </w:r>
          </w:p>
        </w:tc>
        <w:tc>
          <w:tcPr>
            <w:tcW w:w="1595" w:type="dxa"/>
            <w:vAlign w:val="center"/>
            <w:hideMark/>
          </w:tcPr>
          <w:p w14:paraId="72470784" w14:textId="77777777" w:rsidR="00197DD0" w:rsidRPr="00074369" w:rsidRDefault="00197DD0" w:rsidP="00380362">
            <w:pPr>
              <w:spacing w:after="0" w:line="240" w:lineRule="auto"/>
              <w:jc w:val="left"/>
            </w:pPr>
            <w:r w:rsidRPr="00074369">
              <w:rPr>
                <w:rFonts w:cstheme="minorHAnsi"/>
                <w:color w:val="000000" w:themeColor="text1"/>
                <w:kern w:val="24"/>
                <w:szCs w:val="20"/>
              </w:rPr>
              <w:t>0.293</w:t>
            </w:r>
          </w:p>
        </w:tc>
      </w:tr>
      <w:tr w:rsidR="00E61429" w:rsidRPr="00074369" w14:paraId="354248D4" w14:textId="77777777" w:rsidTr="00380362">
        <w:trPr>
          <w:trHeight w:val="57"/>
        </w:trPr>
        <w:tc>
          <w:tcPr>
            <w:tcW w:w="1701" w:type="dxa"/>
            <w:hideMark/>
          </w:tcPr>
          <w:p w14:paraId="35CC0097" w14:textId="2B928C7E" w:rsidR="00E61429" w:rsidRPr="00074369" w:rsidRDefault="00E61429" w:rsidP="005B24F0">
            <w:pPr>
              <w:spacing w:after="0" w:line="240" w:lineRule="auto"/>
              <w:jc w:val="left"/>
            </w:pPr>
            <w:r w:rsidRPr="00074369">
              <w:rPr>
                <w:rFonts w:cstheme="minorHAnsi"/>
                <w:color w:val="000000" w:themeColor="text1"/>
                <w:kern w:val="24"/>
                <w:szCs w:val="20"/>
              </w:rPr>
              <w:t>LM SAR</w:t>
            </w:r>
          </w:p>
        </w:tc>
        <w:tc>
          <w:tcPr>
            <w:tcW w:w="1594" w:type="dxa"/>
            <w:hideMark/>
          </w:tcPr>
          <w:p w14:paraId="6E3F7705" w14:textId="3024839C"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38.94 [0.0000]</w:t>
            </w:r>
          </w:p>
        </w:tc>
        <w:tc>
          <w:tcPr>
            <w:tcW w:w="1595" w:type="dxa"/>
            <w:vAlign w:val="center"/>
            <w:hideMark/>
          </w:tcPr>
          <w:p w14:paraId="13C5F6AD" w14:textId="5AD5F8D2"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5.09 [0.0240]</w:t>
            </w:r>
          </w:p>
        </w:tc>
        <w:tc>
          <w:tcPr>
            <w:tcW w:w="1595" w:type="dxa"/>
            <w:vAlign w:val="center"/>
            <w:hideMark/>
          </w:tcPr>
          <w:p w14:paraId="2C950811" w14:textId="03D9B63E"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569.31 [0.0000]</w:t>
            </w:r>
          </w:p>
        </w:tc>
        <w:tc>
          <w:tcPr>
            <w:tcW w:w="1595" w:type="dxa"/>
            <w:vAlign w:val="center"/>
            <w:hideMark/>
          </w:tcPr>
          <w:p w14:paraId="6C633702" w14:textId="3A487EF6"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93.83 [0.0000]</w:t>
            </w:r>
          </w:p>
        </w:tc>
      </w:tr>
      <w:tr w:rsidR="00E61429" w:rsidRPr="00074369" w14:paraId="4DC2B33F" w14:textId="77777777" w:rsidTr="00380362">
        <w:trPr>
          <w:trHeight w:val="57"/>
        </w:trPr>
        <w:tc>
          <w:tcPr>
            <w:tcW w:w="1701" w:type="dxa"/>
            <w:hideMark/>
          </w:tcPr>
          <w:p w14:paraId="4AF0C5A8" w14:textId="52310F56" w:rsidR="00E61429" w:rsidRPr="00074369" w:rsidRDefault="00E61429" w:rsidP="005B24F0">
            <w:pPr>
              <w:spacing w:after="0" w:line="240" w:lineRule="auto"/>
              <w:jc w:val="left"/>
            </w:pPr>
            <w:r w:rsidRPr="00074369">
              <w:rPr>
                <w:rFonts w:cstheme="minorHAnsi"/>
                <w:color w:val="000000" w:themeColor="text1"/>
                <w:kern w:val="24"/>
                <w:szCs w:val="20"/>
              </w:rPr>
              <w:t xml:space="preserve">LM SEM </w:t>
            </w:r>
          </w:p>
        </w:tc>
        <w:tc>
          <w:tcPr>
            <w:tcW w:w="1594" w:type="dxa"/>
            <w:hideMark/>
          </w:tcPr>
          <w:p w14:paraId="11DB934E" w14:textId="3F263387"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39.26 [0.0000]</w:t>
            </w:r>
          </w:p>
        </w:tc>
        <w:tc>
          <w:tcPr>
            <w:tcW w:w="1595" w:type="dxa"/>
            <w:vAlign w:val="center"/>
            <w:hideMark/>
          </w:tcPr>
          <w:p w14:paraId="2FAEBF93" w14:textId="3793A15A"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5.10 [0.0240]</w:t>
            </w:r>
          </w:p>
        </w:tc>
        <w:tc>
          <w:tcPr>
            <w:tcW w:w="1595" w:type="dxa"/>
            <w:vAlign w:val="center"/>
            <w:hideMark/>
          </w:tcPr>
          <w:p w14:paraId="5DF832A2" w14:textId="6769ED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561.29 [0.0000]</w:t>
            </w:r>
          </w:p>
        </w:tc>
        <w:tc>
          <w:tcPr>
            <w:tcW w:w="1595" w:type="dxa"/>
            <w:vAlign w:val="center"/>
            <w:hideMark/>
          </w:tcPr>
          <w:p w14:paraId="15BB4E97" w14:textId="0A3B86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95.93 [0.0000]</w:t>
            </w:r>
          </w:p>
        </w:tc>
      </w:tr>
      <w:tr w:rsidR="00E61429" w:rsidRPr="00074369" w14:paraId="5F090D00" w14:textId="77777777" w:rsidTr="00380362">
        <w:trPr>
          <w:trHeight w:val="57"/>
        </w:trPr>
        <w:tc>
          <w:tcPr>
            <w:tcW w:w="1701" w:type="dxa"/>
            <w:hideMark/>
          </w:tcPr>
          <w:p w14:paraId="41636129" w14:textId="160EFDD4"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SAR Robusto</w:t>
            </w:r>
          </w:p>
        </w:tc>
        <w:tc>
          <w:tcPr>
            <w:tcW w:w="1594" w:type="dxa"/>
            <w:hideMark/>
          </w:tcPr>
          <w:p w14:paraId="1C93439A"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0.12 [0.7334]</w:t>
            </w:r>
          </w:p>
        </w:tc>
        <w:tc>
          <w:tcPr>
            <w:tcW w:w="1595" w:type="dxa"/>
            <w:vAlign w:val="center"/>
            <w:hideMark/>
          </w:tcPr>
          <w:p w14:paraId="58953F63" w14:textId="63B0E027"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0.00 [0.9734]</w:t>
            </w:r>
          </w:p>
        </w:tc>
        <w:tc>
          <w:tcPr>
            <w:tcW w:w="1595" w:type="dxa"/>
            <w:vAlign w:val="center"/>
            <w:hideMark/>
          </w:tcPr>
          <w:p w14:paraId="70ADAE00" w14:textId="3BC8593C"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11.48 [0.0007]</w:t>
            </w:r>
          </w:p>
        </w:tc>
        <w:tc>
          <w:tcPr>
            <w:tcW w:w="1595" w:type="dxa"/>
            <w:vAlign w:val="center"/>
            <w:hideMark/>
          </w:tcPr>
          <w:p w14:paraId="51F92B90" w14:textId="28981C69"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1.99 [0.1585]</w:t>
            </w:r>
          </w:p>
        </w:tc>
      </w:tr>
      <w:tr w:rsidR="00E61429" w:rsidRPr="00074369" w14:paraId="44CAD0F3" w14:textId="77777777" w:rsidTr="00380362">
        <w:trPr>
          <w:trHeight w:val="57"/>
        </w:trPr>
        <w:tc>
          <w:tcPr>
            <w:tcW w:w="1701" w:type="dxa"/>
            <w:tcBorders>
              <w:bottom w:val="single" w:sz="12" w:space="0" w:color="auto"/>
            </w:tcBorders>
            <w:hideMark/>
          </w:tcPr>
          <w:p w14:paraId="7944A318" w14:textId="63F1593F"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SEM Robusto</w:t>
            </w:r>
          </w:p>
        </w:tc>
        <w:tc>
          <w:tcPr>
            <w:tcW w:w="1594" w:type="dxa"/>
            <w:tcBorders>
              <w:bottom w:val="single" w:sz="12" w:space="0" w:color="auto"/>
            </w:tcBorders>
            <w:hideMark/>
          </w:tcPr>
          <w:p w14:paraId="5931D7B6"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0.44 [0.5093]</w:t>
            </w:r>
          </w:p>
        </w:tc>
        <w:tc>
          <w:tcPr>
            <w:tcW w:w="1595" w:type="dxa"/>
            <w:tcBorders>
              <w:bottom w:val="single" w:sz="12" w:space="0" w:color="auto"/>
            </w:tcBorders>
            <w:vAlign w:val="center"/>
            <w:hideMark/>
          </w:tcPr>
          <w:p w14:paraId="682D5507" w14:textId="1394321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0.01 [0.9434]</w:t>
            </w:r>
          </w:p>
        </w:tc>
        <w:tc>
          <w:tcPr>
            <w:tcW w:w="1595" w:type="dxa"/>
            <w:tcBorders>
              <w:bottom w:val="single" w:sz="12" w:space="0" w:color="auto"/>
            </w:tcBorders>
            <w:vAlign w:val="center"/>
            <w:hideMark/>
          </w:tcPr>
          <w:p w14:paraId="2E23EDAC" w14:textId="703AE3CF"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3.47 [0.0626]</w:t>
            </w:r>
          </w:p>
        </w:tc>
        <w:tc>
          <w:tcPr>
            <w:tcW w:w="1595" w:type="dxa"/>
            <w:tcBorders>
              <w:bottom w:val="single" w:sz="12" w:space="0" w:color="auto"/>
            </w:tcBorders>
            <w:vAlign w:val="center"/>
            <w:hideMark/>
          </w:tcPr>
          <w:p w14:paraId="3361AA30" w14:textId="6E869F5D"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4.09 [0.0431]</w:t>
            </w:r>
          </w:p>
        </w:tc>
      </w:tr>
      <w:tr w:rsidR="00335839" w:rsidRPr="00074369" w14:paraId="45A30FEC" w14:textId="77777777" w:rsidTr="00335839">
        <w:trPr>
          <w:trHeight w:val="57"/>
        </w:trPr>
        <w:tc>
          <w:tcPr>
            <w:tcW w:w="8080" w:type="dxa"/>
            <w:gridSpan w:val="5"/>
            <w:tcBorders>
              <w:top w:val="single" w:sz="12" w:space="0" w:color="auto"/>
            </w:tcBorders>
            <w:hideMark/>
          </w:tcPr>
          <w:p w14:paraId="558DC38D" w14:textId="77777777" w:rsidR="00335839" w:rsidRPr="00074369" w:rsidRDefault="00335839" w:rsidP="005B24F0">
            <w:pPr>
              <w:spacing w:after="0" w:line="240" w:lineRule="auto"/>
              <w:jc w:val="left"/>
            </w:pPr>
            <w:r w:rsidRPr="00074369">
              <w:rPr>
                <w:rFonts w:cstheme="minorHAnsi"/>
                <w:color w:val="000000" w:themeColor="text1"/>
                <w:kern w:val="24"/>
                <w:szCs w:val="20"/>
              </w:rPr>
              <w:t>Notas</w:t>
            </w:r>
            <w:r w:rsidRPr="00074369">
              <w:rPr>
                <w:color w:val="000000" w:themeColor="text1"/>
                <w:kern w:val="24"/>
              </w:rPr>
              <w:t>:</w:t>
            </w:r>
          </w:p>
          <w:p w14:paraId="1AF029E4" w14:textId="101A21C2" w:rsidR="00335839" w:rsidRPr="00074369" w:rsidRDefault="00335839" w:rsidP="00335839">
            <w:pPr>
              <w:spacing w:after="0" w:line="240" w:lineRule="auto"/>
              <w:jc w:val="left"/>
              <w:rPr>
                <w:color w:val="000000" w:themeColor="text1"/>
                <w:kern w:val="24"/>
              </w:rPr>
            </w:pPr>
            <w:r w:rsidRPr="00074369">
              <w:rPr>
                <w:color w:val="000000" w:themeColor="text1"/>
                <w:kern w:val="24"/>
                <w:position w:val="7"/>
                <w:vertAlign w:val="superscript"/>
              </w:rPr>
              <w:t>*</w:t>
            </w:r>
            <w:r w:rsidRPr="00074369">
              <w:rPr>
                <w:color w:val="000000" w:themeColor="text1"/>
                <w:kern w:val="24"/>
              </w:rPr>
              <w:t>p&lt;0.1; </w:t>
            </w:r>
            <w:r w:rsidRPr="00074369">
              <w:rPr>
                <w:color w:val="000000" w:themeColor="text1"/>
                <w:kern w:val="24"/>
                <w:position w:val="7"/>
                <w:vertAlign w:val="superscript"/>
              </w:rPr>
              <w:t>**</w:t>
            </w:r>
            <w:r w:rsidRPr="00074369">
              <w:rPr>
                <w:color w:val="000000" w:themeColor="text1"/>
                <w:kern w:val="24"/>
              </w:rPr>
              <w:t>p&lt;0.05; </w:t>
            </w:r>
            <w:r w:rsidRPr="00074369">
              <w:rPr>
                <w:color w:val="000000" w:themeColor="text1"/>
                <w:kern w:val="24"/>
                <w:position w:val="7"/>
                <w:vertAlign w:val="superscript"/>
              </w:rPr>
              <w:t>***</w:t>
            </w:r>
            <w:r w:rsidRPr="00074369">
              <w:rPr>
                <w:color w:val="000000" w:themeColor="text1"/>
                <w:kern w:val="24"/>
              </w:rPr>
              <w:t>p&lt;0.01</w:t>
            </w:r>
          </w:p>
          <w:p w14:paraId="1BD627E5" w14:textId="02F22883" w:rsidR="00335839" w:rsidRPr="00074369" w:rsidRDefault="00335839" w:rsidP="00335839">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56966CD1" w14:textId="31A1B356" w:rsidR="00335839" w:rsidRPr="00074369" w:rsidRDefault="00335839" w:rsidP="00E61429">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39106943" w14:textId="66B69D59" w:rsidR="00335839" w:rsidRPr="00074369" w:rsidRDefault="00335839" w:rsidP="00B97460">
            <w:pPr>
              <w:tabs>
                <w:tab w:val="left" w:pos="2191"/>
              </w:tabs>
              <w:spacing w:after="0" w:line="240" w:lineRule="auto"/>
              <w:ind w:left="35"/>
              <w:jc w:val="left"/>
            </w:pPr>
            <w:r w:rsidRPr="00074369">
              <w:rPr>
                <w:rFonts w:cstheme="minorHAnsi"/>
                <w:color w:val="000000" w:themeColor="text1"/>
                <w:kern w:val="24"/>
                <w:szCs w:val="20"/>
              </w:rPr>
              <w:t xml:space="preserve">Los errores estándares se computan con </w:t>
            </w:r>
            <w:proofErr w:type="spellStart"/>
            <w:r w:rsidRPr="00074369">
              <w:rPr>
                <w:rFonts w:cstheme="minorHAnsi"/>
                <w:color w:val="000000" w:themeColor="text1"/>
                <w:kern w:val="24"/>
                <w:szCs w:val="20"/>
              </w:rPr>
              <w:t>clusterizando</w:t>
            </w:r>
            <w:proofErr w:type="spellEnd"/>
            <w:r w:rsidRPr="00074369">
              <w:rPr>
                <w:rFonts w:cstheme="minorHAnsi"/>
                <w:color w:val="000000" w:themeColor="text1"/>
                <w:kern w:val="24"/>
                <w:szCs w:val="20"/>
              </w:rPr>
              <w:t xml:space="preserve"> a nivel estación para tener en cuenta correlación serial en los datos </w:t>
            </w:r>
          </w:p>
        </w:tc>
      </w:tr>
    </w:tbl>
    <w:p w14:paraId="7DE4467E" w14:textId="71B3B2EB" w:rsidR="00197DD0" w:rsidRPr="00074369" w:rsidRDefault="00197DD0" w:rsidP="00B97460">
      <w:pPr>
        <w:pStyle w:val="Fuente"/>
      </w:pPr>
      <w:r w:rsidRPr="00074369">
        <w:t>Fuente: Elaboración propia, 2019</w:t>
      </w:r>
    </w:p>
    <w:p w14:paraId="2FD9A005" w14:textId="7E16CC6A" w:rsidR="00B47870" w:rsidRPr="00074369" w:rsidRDefault="00632C11" w:rsidP="00B47870">
      <w:pPr>
        <w:spacing w:before="120"/>
      </w:pPr>
      <w:r w:rsidRPr="00074369">
        <w:t xml:space="preserve">No se encuentran efectos significativos en el caso del diésel para las estaciones abanderadas de Pecsa. Las estaciones vecinas a las que cambian de dueño pasan a cobrar 5 centavos más en el largo plazo para el caso del </w:t>
      </w:r>
      <w:proofErr w:type="spellStart"/>
      <w:r w:rsidRPr="00074369">
        <w:t>gasohol</w:t>
      </w:r>
      <w:proofErr w:type="spellEnd"/>
      <w:r w:rsidRPr="00074369">
        <w:t>.</w:t>
      </w:r>
      <w:r w:rsidR="00B47870" w:rsidRPr="00074369">
        <w:t xml:space="preserve"> El valor de agrupamiento espacial, cuyo detalle de cálculo se encuentra en el anexo 1, solo resulta significativo para el diésel en la ventana de 18 meses a diferencia de los resultados de </w:t>
      </w:r>
      <w:proofErr w:type="spellStart"/>
      <w:r w:rsidR="00B47870" w:rsidRPr="00074369">
        <w:t>Pennerstorfer</w:t>
      </w:r>
      <w:proofErr w:type="spellEnd"/>
      <w:r w:rsidR="00B47870" w:rsidRPr="00074369">
        <w:t xml:space="preserve"> y Weiss </w:t>
      </w:r>
      <w:r w:rsidR="00B47870" w:rsidRPr="00074369">
        <w:fldChar w:fldCharType="begin"/>
      </w:r>
      <w:r w:rsidR="006F6D84">
        <w:instrText xml:space="preserve"> ADDIN ZOTERO_ITEM CSL_CITATION {"citationID":"ARGnJTic","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00B47870" w:rsidRPr="00074369">
        <w:fldChar w:fldCharType="separate"/>
      </w:r>
      <w:r w:rsidR="00355C59" w:rsidRPr="00355C59">
        <w:rPr>
          <w:rFonts w:ascii="Times New Roman" w:hAnsi="Times New Roman"/>
        </w:rPr>
        <w:t>(2013)</w:t>
      </w:r>
      <w:r w:rsidR="00B47870" w:rsidRPr="00074369">
        <w:fldChar w:fldCharType="end"/>
      </w:r>
      <w:r w:rsidR="00B47870" w:rsidRPr="00074369">
        <w:t xml:space="preserve">. Un mayor valor de agrupamiento </w:t>
      </w:r>
      <w:r w:rsidR="00B47870" w:rsidRPr="00074369">
        <w:lastRenderedPageBreak/>
        <w:t xml:space="preserve">espacial debería estar asociado a una disminución de la competencia y mayores precios. La diferencia entre el mercado peruano y el austriaco analizado por </w:t>
      </w:r>
      <w:proofErr w:type="spellStart"/>
      <w:r w:rsidR="00B47870" w:rsidRPr="00074369">
        <w:t>Pennerstorfer</w:t>
      </w:r>
      <w:proofErr w:type="spellEnd"/>
      <w:r w:rsidR="00B47870" w:rsidRPr="00074369">
        <w:t xml:space="preserve">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 </w:t>
      </w:r>
    </w:p>
    <w:p w14:paraId="680F3F8E" w14:textId="3BC86CA3" w:rsidR="00BC7284" w:rsidRDefault="00737374" w:rsidP="00D32E14">
      <w:r w:rsidRPr="00074369">
        <w:t xml:space="preserve">La tabla </w:t>
      </w:r>
      <w:r w:rsidR="009F4993" w:rsidRPr="00074369">
        <w:fldChar w:fldCharType="begin"/>
      </w:r>
      <w:r w:rsidR="009F4993" w:rsidRPr="00074369">
        <w:instrText xml:space="preserve"> REF _Ref6347319 \# 0 \h </w:instrText>
      </w:r>
      <w:r w:rsidR="009F4993" w:rsidRPr="00074369">
        <w:fldChar w:fldCharType="separate"/>
      </w:r>
      <w:r w:rsidR="004C0429">
        <w:t>3</w:t>
      </w:r>
      <w:r w:rsidR="009F4993" w:rsidRPr="00074369">
        <w:fldChar w:fldCharType="end"/>
      </w:r>
      <w:r w:rsidR="009F4993" w:rsidRPr="00074369">
        <w:t xml:space="preserve"> muestra</w:t>
      </w:r>
      <w:r w:rsidR="004D5590" w:rsidRPr="00074369">
        <w:t xml:space="preserve"> </w:t>
      </w:r>
      <w:r w:rsidR="007B2408" w:rsidRPr="00074369">
        <w:t xml:space="preserve">las pruebas de </w:t>
      </w:r>
      <w:proofErr w:type="spellStart"/>
      <w:r w:rsidR="007B2408" w:rsidRPr="00074369">
        <w:t>Anselin</w:t>
      </w:r>
      <w:proofErr w:type="spellEnd"/>
      <w:r w:rsidR="007B2408" w:rsidRPr="00074369">
        <w:t xml:space="preserve"> (1996), transformando las variables “dentro de”, es decir, restando la media en el periodo a cada observación. Las pruebas </w:t>
      </w:r>
      <w:r w:rsidR="00FA1B25" w:rsidRPr="00074369">
        <w:t xml:space="preserve">robustas </w:t>
      </w:r>
      <w:r w:rsidR="007B2408" w:rsidRPr="00074369">
        <w:t xml:space="preserve">no son concluyentes, por lo que </w:t>
      </w:r>
      <w:r w:rsidR="003E0133">
        <w:t>siguiendo</w:t>
      </w:r>
      <w:r w:rsidR="00A17B46">
        <w:t xml:space="preserve"> a </w:t>
      </w:r>
      <w:proofErr w:type="spellStart"/>
      <w:r w:rsidR="00A17B46">
        <w:t>Elhorst</w:t>
      </w:r>
      <w:proofErr w:type="spellEnd"/>
      <w:r w:rsidR="00A17B46">
        <w:t xml:space="preserve"> </w:t>
      </w:r>
      <w:r w:rsidR="00A17B46">
        <w:fldChar w:fldCharType="begin"/>
      </w:r>
      <w:r w:rsidR="006F6D84">
        <w:instrText xml:space="preserve"> ADDIN ZOTERO_ITEM CSL_CITATION {"citationID":"aIB3NCN4","properties":{"formattedCitation":"(2010)","plainCitation":"(2010)","noteIndex":0},"citationItems":[{"id":670,"uris":["http://zotero.org/groups/2269288/items/Z6W4LAXW"],"uri":["http://zotero.org/groups/2269288/items/Z6W4LAXW"],"itemData":{"id":670,"type":"article-journal","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libro.","container-title":"Spatial Economic Analysis","DOI":"10.1080/17421770903541772","ISSN":"1742-1772","issue":"1","note":"Citation Key: elhorstAppliedSpatialEconometrics2010","page":"9-28","source":"Taylor and Francis+NEJM","title":"Applied Spatial Econometrics: Raising the Bar","title-short":"Applied Spatial Econometrics","volume":"5","author":[{"family":"Elhorst","given":"J. Paul"}],"issued":{"date-parts":[["2010",3,1]]}},"suppress-author":true}],"schema":"https://github.com/citation-style-language/schema/raw/master/csl-citation.json"} </w:instrText>
      </w:r>
      <w:r w:rsidR="00A17B46">
        <w:fldChar w:fldCharType="separate"/>
      </w:r>
      <w:r w:rsidR="00355C59" w:rsidRPr="00355C59">
        <w:rPr>
          <w:rFonts w:ascii="Times New Roman" w:hAnsi="Times New Roman"/>
        </w:rPr>
        <w:t>(2010)</w:t>
      </w:r>
      <w:r w:rsidR="00A17B46">
        <w:fldChar w:fldCharType="end"/>
      </w:r>
      <w:r w:rsidR="003E0133">
        <w:t xml:space="preserve"> </w:t>
      </w:r>
      <w:r w:rsidR="001A0077">
        <w:t>estimamos</w:t>
      </w:r>
      <w:r w:rsidR="007B2408" w:rsidRPr="00074369">
        <w:t xml:space="preserve"> el modelo espacial de Durbin para revisar la significancia los estimadores asociados a la dependencia espacial.</w:t>
      </w:r>
      <w:r w:rsidR="001A0077">
        <w:t xml:space="preserve"> Los resultados se muestran en la tabla </w:t>
      </w:r>
      <w:r w:rsidR="001A0077">
        <w:fldChar w:fldCharType="begin"/>
      </w:r>
      <w:r w:rsidR="001A0077">
        <w:instrText xml:space="preserve"> REF _Ref9970615 </w:instrText>
      </w:r>
      <w:r w:rsidR="001A0077" w:rsidRPr="001A0077">
        <w:instrText>\# 0</w:instrText>
      </w:r>
      <w:r w:rsidR="001A0077">
        <w:instrText xml:space="preserve"> \h </w:instrText>
      </w:r>
      <w:r w:rsidR="001A0077">
        <w:fldChar w:fldCharType="separate"/>
      </w:r>
      <w:r w:rsidR="004C0429">
        <w:t>4</w:t>
      </w:r>
      <w:r w:rsidR="001A0077">
        <w:fldChar w:fldCharType="end"/>
      </w:r>
      <w:r w:rsidR="001A0077">
        <w:t xml:space="preserve"> e indican </w:t>
      </w:r>
      <w:r w:rsidR="00501131">
        <w:t xml:space="preserve">que para ambos horizontes en el caso del diésel y para el largo plazo en el caso del </w:t>
      </w:r>
      <w:proofErr w:type="spellStart"/>
      <w:r w:rsidR="00501131">
        <w:t>gaso</w:t>
      </w:r>
      <w:r w:rsidR="00763BB1">
        <w:t>hol</w:t>
      </w:r>
      <w:proofErr w:type="spellEnd"/>
      <w:r w:rsidR="00763BB1">
        <w:t xml:space="preserve"> 90, no se puede simplificar a un modelo más simple</w:t>
      </w:r>
      <w:r w:rsidR="00AF15D1">
        <w:t xml:space="preserve"> (se rechazan las hipótesis nulas indicadas en el </w:t>
      </w:r>
      <w:r w:rsidR="00AF15D1">
        <w:fldChar w:fldCharType="begin"/>
      </w:r>
      <w:r w:rsidR="00AF15D1">
        <w:instrText xml:space="preserve"> REF _Ref7077941 \r \h </w:instrText>
      </w:r>
      <w:r w:rsidR="00AF15D1">
        <w:fldChar w:fldCharType="separate"/>
      </w:r>
      <w:r w:rsidR="004C0429">
        <w:t>Capítulo II.2</w:t>
      </w:r>
      <w:r w:rsidR="00AF15D1">
        <w:fldChar w:fldCharType="end"/>
      </w:r>
      <w:r w:rsidR="00763BB1">
        <w:t xml:space="preserve">. </w:t>
      </w:r>
    </w:p>
    <w:p w14:paraId="1895FE3B" w14:textId="20DC1BF7" w:rsidR="00175CF9" w:rsidRDefault="00175CF9" w:rsidP="00175CF9">
      <w:pPr>
        <w:pStyle w:val="Descripcin"/>
      </w:pPr>
      <w:bookmarkStart w:id="179" w:name="_Ref9970615"/>
      <w:r>
        <w:t xml:space="preserve">Tabla </w:t>
      </w:r>
      <w:r>
        <w:fldChar w:fldCharType="begin"/>
      </w:r>
      <w:r>
        <w:instrText xml:space="preserve"> SEQ Tabla \* ARABIC </w:instrText>
      </w:r>
      <w:r>
        <w:fldChar w:fldCharType="separate"/>
      </w:r>
      <w:r w:rsidR="004C0429">
        <w:rPr>
          <w:noProof/>
        </w:rPr>
        <w:t>4</w:t>
      </w:r>
      <w:r>
        <w:fldChar w:fldCharType="end"/>
      </w:r>
      <w:bookmarkEnd w:id="179"/>
      <w:r>
        <w:t>: Estimación del modelo espacial de Durbin con efectos fijos</w:t>
      </w:r>
    </w:p>
    <w:tbl>
      <w:tblPr>
        <w:tblStyle w:val="tesis"/>
        <w:tblW w:w="8490" w:type="dxa"/>
        <w:tblLayout w:type="fixed"/>
        <w:tblLook w:val="0600" w:firstRow="0" w:lastRow="0" w:firstColumn="0" w:lastColumn="0" w:noHBand="1" w:noVBand="1"/>
      </w:tblPr>
      <w:tblGrid>
        <w:gridCol w:w="1701"/>
        <w:gridCol w:w="797"/>
        <w:gridCol w:w="1000"/>
        <w:gridCol w:w="797"/>
        <w:gridCol w:w="792"/>
        <w:gridCol w:w="6"/>
        <w:gridCol w:w="797"/>
        <w:gridCol w:w="1000"/>
        <w:gridCol w:w="797"/>
        <w:gridCol w:w="797"/>
        <w:gridCol w:w="6"/>
      </w:tblGrid>
      <w:tr w:rsidR="00175CF9" w:rsidRPr="00074369" w14:paraId="02628B3C" w14:textId="77777777" w:rsidTr="000B1026">
        <w:trPr>
          <w:gridAfter w:val="1"/>
          <w:wAfter w:w="6" w:type="dxa"/>
          <w:trHeight w:val="57"/>
        </w:trPr>
        <w:tc>
          <w:tcPr>
            <w:tcW w:w="1701" w:type="dxa"/>
            <w:vMerge w:val="restart"/>
            <w:tcBorders>
              <w:top w:val="single" w:sz="12" w:space="0" w:color="auto"/>
            </w:tcBorders>
            <w:hideMark/>
          </w:tcPr>
          <w:p w14:paraId="4D46DDDF" w14:textId="77777777" w:rsidR="00175CF9" w:rsidRPr="00074369" w:rsidRDefault="00175CF9" w:rsidP="000B1026">
            <w:pPr>
              <w:spacing w:after="0" w:line="240" w:lineRule="auto"/>
              <w:jc w:val="left"/>
            </w:pPr>
          </w:p>
        </w:tc>
        <w:tc>
          <w:tcPr>
            <w:tcW w:w="3386" w:type="dxa"/>
            <w:gridSpan w:val="4"/>
            <w:tcBorders>
              <w:top w:val="single" w:sz="12" w:space="0" w:color="auto"/>
            </w:tcBorders>
            <w:hideMark/>
          </w:tcPr>
          <w:p w14:paraId="32BA95F2" w14:textId="77777777" w:rsidR="00175CF9" w:rsidRPr="00074369" w:rsidRDefault="00175CF9" w:rsidP="000B1026">
            <w:pPr>
              <w:spacing w:after="0" w:line="240" w:lineRule="auto"/>
              <w:jc w:val="center"/>
            </w:pPr>
            <w:r w:rsidRPr="00074369">
              <w:rPr>
                <w:rFonts w:cstheme="minorHAnsi"/>
                <w:color w:val="000000" w:themeColor="text1"/>
                <w:kern w:val="24"/>
                <w:szCs w:val="20"/>
              </w:rPr>
              <w:t>Diésel (soles/galón)</w:t>
            </w:r>
          </w:p>
        </w:tc>
        <w:tc>
          <w:tcPr>
            <w:tcW w:w="3397" w:type="dxa"/>
            <w:gridSpan w:val="5"/>
            <w:tcBorders>
              <w:top w:val="single" w:sz="12" w:space="0" w:color="auto"/>
            </w:tcBorders>
            <w:hideMark/>
          </w:tcPr>
          <w:p w14:paraId="3B1727E7" w14:textId="77777777" w:rsidR="00175CF9" w:rsidRPr="00074369" w:rsidRDefault="00175CF9" w:rsidP="000B1026">
            <w:pPr>
              <w:spacing w:after="0" w:line="240" w:lineRule="auto"/>
              <w:jc w:val="center"/>
            </w:pPr>
            <w:proofErr w:type="spellStart"/>
            <w:r w:rsidRPr="00074369">
              <w:rPr>
                <w:rFonts w:cstheme="minorHAnsi"/>
                <w:color w:val="000000" w:themeColor="text1"/>
                <w:kern w:val="24"/>
                <w:szCs w:val="20"/>
              </w:rPr>
              <w:t>Gasohol</w:t>
            </w:r>
            <w:proofErr w:type="spellEnd"/>
            <w:r w:rsidRPr="00074369">
              <w:rPr>
                <w:rFonts w:cstheme="minorHAnsi"/>
                <w:color w:val="000000" w:themeColor="text1"/>
                <w:kern w:val="24"/>
                <w:szCs w:val="20"/>
              </w:rPr>
              <w:t xml:space="preserve"> 90 (soles/galón)</w:t>
            </w:r>
          </w:p>
        </w:tc>
      </w:tr>
      <w:tr w:rsidR="00175CF9" w:rsidRPr="00074369" w14:paraId="1DD374D5" w14:textId="77777777" w:rsidTr="000B1026">
        <w:trPr>
          <w:trHeight w:val="57"/>
        </w:trPr>
        <w:tc>
          <w:tcPr>
            <w:tcW w:w="1701" w:type="dxa"/>
            <w:vMerge/>
            <w:tcBorders>
              <w:bottom w:val="single" w:sz="4" w:space="0" w:color="auto"/>
            </w:tcBorders>
            <w:hideMark/>
          </w:tcPr>
          <w:p w14:paraId="198426C2"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4" w:space="0" w:color="auto"/>
            </w:tcBorders>
            <w:hideMark/>
          </w:tcPr>
          <w:p w14:paraId="7DCFAF86"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gridSpan w:val="3"/>
            <w:tcBorders>
              <w:bottom w:val="single" w:sz="4" w:space="0" w:color="auto"/>
            </w:tcBorders>
            <w:hideMark/>
          </w:tcPr>
          <w:p w14:paraId="238DB0BA"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c>
          <w:tcPr>
            <w:tcW w:w="1797" w:type="dxa"/>
            <w:gridSpan w:val="2"/>
            <w:tcBorders>
              <w:bottom w:val="single" w:sz="4" w:space="0" w:color="auto"/>
            </w:tcBorders>
            <w:hideMark/>
          </w:tcPr>
          <w:p w14:paraId="0DC18B97"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600" w:type="dxa"/>
            <w:gridSpan w:val="3"/>
            <w:tcBorders>
              <w:bottom w:val="single" w:sz="4" w:space="0" w:color="auto"/>
            </w:tcBorders>
            <w:hideMark/>
          </w:tcPr>
          <w:p w14:paraId="5514E64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r>
      <w:tr w:rsidR="00175CF9" w:rsidRPr="00074369" w14:paraId="2009FAE8" w14:textId="77777777" w:rsidTr="000B1026">
        <w:trPr>
          <w:trHeight w:val="57"/>
        </w:trPr>
        <w:tc>
          <w:tcPr>
            <w:tcW w:w="1701" w:type="dxa"/>
            <w:tcBorders>
              <w:top w:val="single" w:sz="4" w:space="0" w:color="auto"/>
            </w:tcBorders>
          </w:tcPr>
          <w:p w14:paraId="5435E1F3"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W*Precio</w:t>
            </w:r>
          </w:p>
        </w:tc>
        <w:tc>
          <w:tcPr>
            <w:tcW w:w="797" w:type="dxa"/>
            <w:tcBorders>
              <w:top w:val="single" w:sz="4" w:space="0" w:color="auto"/>
            </w:tcBorders>
            <w:vAlign w:val="bottom"/>
          </w:tcPr>
          <w:p w14:paraId="322A0790" w14:textId="77777777" w:rsidR="00175CF9" w:rsidRPr="00074369" w:rsidRDefault="00175CF9" w:rsidP="000B1026">
            <w:pPr>
              <w:spacing w:after="0" w:line="240" w:lineRule="auto"/>
              <w:jc w:val="left"/>
              <w:rPr>
                <w:color w:val="000000" w:themeColor="text1"/>
                <w:kern w:val="24"/>
              </w:rPr>
            </w:pPr>
            <w:r>
              <w:rPr>
                <w:color w:val="000000"/>
                <w:szCs w:val="20"/>
              </w:rPr>
              <w:t>0.103</w:t>
            </w:r>
          </w:p>
        </w:tc>
        <w:tc>
          <w:tcPr>
            <w:tcW w:w="1000" w:type="dxa"/>
            <w:tcBorders>
              <w:top w:val="single" w:sz="4" w:space="0" w:color="auto"/>
            </w:tcBorders>
            <w:vAlign w:val="bottom"/>
          </w:tcPr>
          <w:p w14:paraId="1170E274" w14:textId="77777777" w:rsidR="00175CF9" w:rsidRPr="00074369" w:rsidRDefault="00175CF9" w:rsidP="000B1026">
            <w:pPr>
              <w:spacing w:after="0" w:line="240" w:lineRule="auto"/>
              <w:jc w:val="left"/>
              <w:rPr>
                <w:color w:val="000000" w:themeColor="text1"/>
                <w:kern w:val="24"/>
              </w:rPr>
            </w:pPr>
            <w:r>
              <w:rPr>
                <w:color w:val="000000"/>
                <w:szCs w:val="20"/>
              </w:rPr>
              <w:t>(5.57)</w:t>
            </w:r>
          </w:p>
        </w:tc>
        <w:tc>
          <w:tcPr>
            <w:tcW w:w="797" w:type="dxa"/>
            <w:tcBorders>
              <w:top w:val="single" w:sz="4" w:space="0" w:color="auto"/>
            </w:tcBorders>
            <w:vAlign w:val="bottom"/>
          </w:tcPr>
          <w:p w14:paraId="32AC2607"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0.065</w:t>
            </w:r>
          </w:p>
        </w:tc>
        <w:tc>
          <w:tcPr>
            <w:tcW w:w="798" w:type="dxa"/>
            <w:gridSpan w:val="2"/>
            <w:tcBorders>
              <w:top w:val="single" w:sz="4" w:space="0" w:color="auto"/>
            </w:tcBorders>
            <w:vAlign w:val="bottom"/>
          </w:tcPr>
          <w:p w14:paraId="113BA2A1"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(1.99)</w:t>
            </w:r>
          </w:p>
        </w:tc>
        <w:tc>
          <w:tcPr>
            <w:tcW w:w="797" w:type="dxa"/>
            <w:tcBorders>
              <w:top w:val="single" w:sz="4" w:space="0" w:color="auto"/>
            </w:tcBorders>
            <w:vAlign w:val="bottom"/>
          </w:tcPr>
          <w:p w14:paraId="37DAA3ED" w14:textId="77777777" w:rsidR="00175CF9" w:rsidRPr="00074369" w:rsidRDefault="00175CF9" w:rsidP="000B1026">
            <w:pPr>
              <w:spacing w:after="0" w:line="240" w:lineRule="auto"/>
              <w:jc w:val="left"/>
              <w:rPr>
                <w:color w:val="000000" w:themeColor="text1"/>
                <w:kern w:val="24"/>
              </w:rPr>
            </w:pPr>
            <w:r>
              <w:rPr>
                <w:color w:val="000000"/>
                <w:szCs w:val="20"/>
              </w:rPr>
              <w:t>0.363</w:t>
            </w:r>
          </w:p>
        </w:tc>
        <w:tc>
          <w:tcPr>
            <w:tcW w:w="1000" w:type="dxa"/>
            <w:tcBorders>
              <w:top w:val="single" w:sz="4" w:space="0" w:color="auto"/>
            </w:tcBorders>
            <w:vAlign w:val="bottom"/>
          </w:tcPr>
          <w:p w14:paraId="59CF7FBB" w14:textId="77777777" w:rsidR="00175CF9" w:rsidRPr="00074369" w:rsidRDefault="00175CF9" w:rsidP="000B1026">
            <w:pPr>
              <w:spacing w:after="0" w:line="240" w:lineRule="auto"/>
              <w:jc w:val="left"/>
              <w:rPr>
                <w:color w:val="000000" w:themeColor="text1"/>
                <w:kern w:val="24"/>
              </w:rPr>
            </w:pPr>
            <w:r>
              <w:rPr>
                <w:color w:val="000000"/>
                <w:szCs w:val="20"/>
              </w:rPr>
              <w:t>(22.79)</w:t>
            </w:r>
          </w:p>
        </w:tc>
        <w:tc>
          <w:tcPr>
            <w:tcW w:w="797" w:type="dxa"/>
            <w:tcBorders>
              <w:top w:val="single" w:sz="4" w:space="0" w:color="auto"/>
            </w:tcBorders>
            <w:vAlign w:val="bottom"/>
          </w:tcPr>
          <w:p w14:paraId="08641176" w14:textId="77777777" w:rsidR="00175CF9" w:rsidRPr="00074369" w:rsidRDefault="00175CF9" w:rsidP="000B1026">
            <w:pPr>
              <w:spacing w:after="0" w:line="240" w:lineRule="auto"/>
              <w:jc w:val="left"/>
            </w:pPr>
            <w:r>
              <w:rPr>
                <w:color w:val="000000"/>
                <w:szCs w:val="20"/>
              </w:rPr>
              <w:t>0.277</w:t>
            </w:r>
          </w:p>
        </w:tc>
        <w:tc>
          <w:tcPr>
            <w:tcW w:w="803" w:type="dxa"/>
            <w:gridSpan w:val="2"/>
            <w:tcBorders>
              <w:top w:val="single" w:sz="4" w:space="0" w:color="auto"/>
            </w:tcBorders>
            <w:vAlign w:val="bottom"/>
          </w:tcPr>
          <w:p w14:paraId="01FE9E42" w14:textId="77777777" w:rsidR="00175CF9" w:rsidRPr="00074369" w:rsidRDefault="00175CF9" w:rsidP="000B1026">
            <w:pPr>
              <w:spacing w:after="0" w:line="240" w:lineRule="auto"/>
              <w:jc w:val="left"/>
              <w:rPr>
                <w:color w:val="000000" w:themeColor="text1"/>
                <w:kern w:val="24"/>
              </w:rPr>
            </w:pPr>
            <w:r>
              <w:rPr>
                <w:color w:val="000000"/>
                <w:szCs w:val="20"/>
              </w:rPr>
              <w:t>(9.48)</w:t>
            </w:r>
          </w:p>
        </w:tc>
      </w:tr>
      <w:tr w:rsidR="00175CF9" w:rsidRPr="00074369" w14:paraId="71B444C9" w14:textId="77777777" w:rsidTr="000B1026">
        <w:trPr>
          <w:trHeight w:val="57"/>
        </w:trPr>
        <w:tc>
          <w:tcPr>
            <w:tcW w:w="1701" w:type="dxa"/>
            <w:hideMark/>
          </w:tcPr>
          <w:p w14:paraId="39EB6136" w14:textId="77777777" w:rsidR="00175CF9" w:rsidRPr="00074369" w:rsidRDefault="00175CF9" w:rsidP="000B1026">
            <w:pPr>
              <w:spacing w:after="0" w:line="240" w:lineRule="auto"/>
              <w:jc w:val="left"/>
            </w:pPr>
            <w:r w:rsidRPr="00074369">
              <w:rPr>
                <w:rFonts w:cstheme="minorHAnsi"/>
                <w:color w:val="000000" w:themeColor="text1"/>
                <w:kern w:val="24"/>
                <w:szCs w:val="20"/>
              </w:rPr>
              <w:t>PRIMAX</w:t>
            </w:r>
          </w:p>
        </w:tc>
        <w:tc>
          <w:tcPr>
            <w:tcW w:w="797" w:type="dxa"/>
            <w:vAlign w:val="bottom"/>
          </w:tcPr>
          <w:p w14:paraId="15FD37AD" w14:textId="77777777" w:rsidR="00175CF9" w:rsidRPr="00074369" w:rsidRDefault="00175CF9" w:rsidP="000B1026">
            <w:pPr>
              <w:spacing w:after="0" w:line="240" w:lineRule="auto"/>
              <w:jc w:val="left"/>
            </w:pPr>
            <w:r>
              <w:rPr>
                <w:color w:val="000000"/>
                <w:szCs w:val="20"/>
              </w:rPr>
              <w:t>0.092</w:t>
            </w:r>
          </w:p>
        </w:tc>
        <w:tc>
          <w:tcPr>
            <w:tcW w:w="1000" w:type="dxa"/>
            <w:vAlign w:val="bottom"/>
          </w:tcPr>
          <w:p w14:paraId="2E4DA045" w14:textId="77777777" w:rsidR="00175CF9" w:rsidRPr="00074369" w:rsidRDefault="00175CF9" w:rsidP="000B1026">
            <w:pPr>
              <w:spacing w:after="0" w:line="240" w:lineRule="auto"/>
              <w:jc w:val="left"/>
            </w:pPr>
            <w:r>
              <w:rPr>
                <w:color w:val="000000"/>
                <w:szCs w:val="20"/>
              </w:rPr>
              <w:t>(4.11)</w:t>
            </w:r>
          </w:p>
        </w:tc>
        <w:tc>
          <w:tcPr>
            <w:tcW w:w="797" w:type="dxa"/>
            <w:vAlign w:val="bottom"/>
          </w:tcPr>
          <w:p w14:paraId="730A4849" w14:textId="77777777" w:rsidR="00175CF9" w:rsidRPr="00C971F8" w:rsidRDefault="00175CF9" w:rsidP="000B1026">
            <w:pPr>
              <w:spacing w:after="0" w:line="240" w:lineRule="auto"/>
              <w:jc w:val="left"/>
            </w:pPr>
            <w:r>
              <w:rPr>
                <w:color w:val="000000"/>
                <w:szCs w:val="20"/>
              </w:rPr>
              <w:t>-0.002</w:t>
            </w:r>
          </w:p>
        </w:tc>
        <w:tc>
          <w:tcPr>
            <w:tcW w:w="798" w:type="dxa"/>
            <w:gridSpan w:val="2"/>
            <w:vAlign w:val="bottom"/>
          </w:tcPr>
          <w:p w14:paraId="6C8414D3" w14:textId="77777777" w:rsidR="00175CF9" w:rsidRPr="00C971F8" w:rsidRDefault="00175CF9" w:rsidP="000B1026">
            <w:pPr>
              <w:spacing w:after="0" w:line="240" w:lineRule="auto"/>
              <w:jc w:val="left"/>
            </w:pPr>
            <w:r>
              <w:rPr>
                <w:color w:val="000000"/>
                <w:szCs w:val="20"/>
              </w:rPr>
              <w:t>(-0.06)</w:t>
            </w:r>
          </w:p>
        </w:tc>
        <w:tc>
          <w:tcPr>
            <w:tcW w:w="797" w:type="dxa"/>
            <w:vAlign w:val="bottom"/>
          </w:tcPr>
          <w:p w14:paraId="221FC9AE" w14:textId="77777777" w:rsidR="00175CF9" w:rsidRPr="00074369" w:rsidRDefault="00175CF9" w:rsidP="000B1026">
            <w:pPr>
              <w:spacing w:after="0" w:line="240" w:lineRule="auto"/>
              <w:jc w:val="left"/>
            </w:pPr>
            <w:r>
              <w:rPr>
                <w:color w:val="000000"/>
                <w:szCs w:val="20"/>
              </w:rPr>
              <w:t>0.076</w:t>
            </w:r>
          </w:p>
        </w:tc>
        <w:tc>
          <w:tcPr>
            <w:tcW w:w="1000" w:type="dxa"/>
            <w:vAlign w:val="bottom"/>
          </w:tcPr>
          <w:p w14:paraId="3888E8C2" w14:textId="77777777" w:rsidR="00175CF9" w:rsidRPr="00074369" w:rsidRDefault="00175CF9" w:rsidP="000B1026">
            <w:pPr>
              <w:spacing w:after="0" w:line="240" w:lineRule="auto"/>
              <w:jc w:val="left"/>
            </w:pPr>
            <w:r>
              <w:rPr>
                <w:color w:val="000000"/>
                <w:szCs w:val="20"/>
              </w:rPr>
              <w:t>(2.76)</w:t>
            </w:r>
          </w:p>
        </w:tc>
        <w:tc>
          <w:tcPr>
            <w:tcW w:w="797" w:type="dxa"/>
            <w:vAlign w:val="bottom"/>
          </w:tcPr>
          <w:p w14:paraId="77563E6E" w14:textId="77777777" w:rsidR="00175CF9" w:rsidRPr="00074369" w:rsidRDefault="00175CF9" w:rsidP="000B1026">
            <w:pPr>
              <w:spacing w:after="0" w:line="240" w:lineRule="auto"/>
              <w:jc w:val="left"/>
            </w:pPr>
            <w:r>
              <w:rPr>
                <w:color w:val="000000"/>
                <w:szCs w:val="20"/>
              </w:rPr>
              <w:t>0.085</w:t>
            </w:r>
          </w:p>
        </w:tc>
        <w:tc>
          <w:tcPr>
            <w:tcW w:w="803" w:type="dxa"/>
            <w:gridSpan w:val="2"/>
            <w:vAlign w:val="bottom"/>
          </w:tcPr>
          <w:p w14:paraId="42A5E7A4" w14:textId="77777777" w:rsidR="00175CF9" w:rsidRPr="00074369" w:rsidRDefault="00175CF9" w:rsidP="000B1026">
            <w:pPr>
              <w:spacing w:after="0" w:line="240" w:lineRule="auto"/>
              <w:jc w:val="left"/>
            </w:pPr>
            <w:r>
              <w:rPr>
                <w:color w:val="000000"/>
                <w:szCs w:val="20"/>
              </w:rPr>
              <w:t>(3.00)</w:t>
            </w:r>
          </w:p>
        </w:tc>
      </w:tr>
      <w:tr w:rsidR="00175CF9" w:rsidRPr="00074369" w14:paraId="4C13CB67" w14:textId="77777777" w:rsidTr="000B1026">
        <w:trPr>
          <w:trHeight w:val="57"/>
        </w:trPr>
        <w:tc>
          <w:tcPr>
            <w:tcW w:w="1701" w:type="dxa"/>
            <w:hideMark/>
          </w:tcPr>
          <w:p w14:paraId="2BBFB46E" w14:textId="77777777" w:rsidR="00175CF9" w:rsidRPr="00074369" w:rsidRDefault="00175CF9" w:rsidP="000B1026">
            <w:pPr>
              <w:spacing w:after="0" w:line="240" w:lineRule="auto"/>
              <w:jc w:val="left"/>
            </w:pPr>
            <w:r w:rsidRPr="00074369">
              <w:rPr>
                <w:rFonts w:cstheme="minorHAnsi"/>
                <w:color w:val="000000" w:themeColor="text1"/>
                <w:kern w:val="24"/>
                <w:szCs w:val="20"/>
              </w:rPr>
              <w:t>CONTRATO</w:t>
            </w:r>
          </w:p>
        </w:tc>
        <w:tc>
          <w:tcPr>
            <w:tcW w:w="797" w:type="dxa"/>
            <w:vAlign w:val="bottom"/>
          </w:tcPr>
          <w:p w14:paraId="74799887" w14:textId="77777777" w:rsidR="00175CF9" w:rsidRPr="00074369" w:rsidRDefault="00175CF9" w:rsidP="000B1026">
            <w:pPr>
              <w:spacing w:after="0" w:line="240" w:lineRule="auto"/>
              <w:jc w:val="left"/>
            </w:pPr>
            <w:r>
              <w:rPr>
                <w:color w:val="000000"/>
                <w:szCs w:val="20"/>
              </w:rPr>
              <w:t>0.016</w:t>
            </w:r>
          </w:p>
        </w:tc>
        <w:tc>
          <w:tcPr>
            <w:tcW w:w="1000" w:type="dxa"/>
            <w:vAlign w:val="bottom"/>
          </w:tcPr>
          <w:p w14:paraId="77DD7890" w14:textId="77777777" w:rsidR="00175CF9" w:rsidRPr="00074369" w:rsidRDefault="00175CF9" w:rsidP="000B1026">
            <w:pPr>
              <w:spacing w:after="0" w:line="240" w:lineRule="auto"/>
              <w:jc w:val="left"/>
            </w:pPr>
            <w:r>
              <w:rPr>
                <w:color w:val="000000"/>
                <w:szCs w:val="20"/>
              </w:rPr>
              <w:t>(0.85)</w:t>
            </w:r>
          </w:p>
        </w:tc>
        <w:tc>
          <w:tcPr>
            <w:tcW w:w="797" w:type="dxa"/>
            <w:vAlign w:val="bottom"/>
          </w:tcPr>
          <w:p w14:paraId="06672088" w14:textId="77777777" w:rsidR="00175CF9" w:rsidRPr="00C971F8" w:rsidRDefault="00175CF9" w:rsidP="000B1026">
            <w:pPr>
              <w:spacing w:after="0" w:line="240" w:lineRule="auto"/>
              <w:jc w:val="left"/>
            </w:pPr>
            <w:r>
              <w:rPr>
                <w:color w:val="000000"/>
                <w:szCs w:val="20"/>
              </w:rPr>
              <w:t>0.003</w:t>
            </w:r>
          </w:p>
        </w:tc>
        <w:tc>
          <w:tcPr>
            <w:tcW w:w="798" w:type="dxa"/>
            <w:gridSpan w:val="2"/>
            <w:vAlign w:val="bottom"/>
          </w:tcPr>
          <w:p w14:paraId="3D57AA64" w14:textId="77777777" w:rsidR="00175CF9" w:rsidRPr="00C971F8" w:rsidRDefault="00175CF9" w:rsidP="000B1026">
            <w:pPr>
              <w:spacing w:after="0" w:line="240" w:lineRule="auto"/>
              <w:jc w:val="left"/>
            </w:pPr>
            <w:r>
              <w:rPr>
                <w:color w:val="000000"/>
                <w:szCs w:val="20"/>
              </w:rPr>
              <w:t>(0.12)</w:t>
            </w:r>
          </w:p>
        </w:tc>
        <w:tc>
          <w:tcPr>
            <w:tcW w:w="797" w:type="dxa"/>
            <w:vAlign w:val="bottom"/>
          </w:tcPr>
          <w:p w14:paraId="6730A5E1" w14:textId="77777777" w:rsidR="00175CF9" w:rsidRPr="00074369" w:rsidRDefault="00175CF9" w:rsidP="000B1026">
            <w:pPr>
              <w:spacing w:after="0" w:line="240" w:lineRule="auto"/>
              <w:jc w:val="left"/>
            </w:pPr>
            <w:r>
              <w:rPr>
                <w:color w:val="000000"/>
                <w:szCs w:val="20"/>
              </w:rPr>
              <w:t>-0.058</w:t>
            </w:r>
          </w:p>
        </w:tc>
        <w:tc>
          <w:tcPr>
            <w:tcW w:w="1000" w:type="dxa"/>
            <w:vAlign w:val="bottom"/>
          </w:tcPr>
          <w:p w14:paraId="505883A0" w14:textId="77777777" w:rsidR="00175CF9" w:rsidRPr="00074369" w:rsidRDefault="00175CF9" w:rsidP="000B1026">
            <w:pPr>
              <w:spacing w:after="0" w:line="240" w:lineRule="auto"/>
              <w:jc w:val="left"/>
            </w:pPr>
            <w:r>
              <w:rPr>
                <w:color w:val="000000"/>
                <w:szCs w:val="20"/>
              </w:rPr>
              <w:t>(-2.55)</w:t>
            </w:r>
          </w:p>
        </w:tc>
        <w:tc>
          <w:tcPr>
            <w:tcW w:w="797" w:type="dxa"/>
            <w:vAlign w:val="bottom"/>
          </w:tcPr>
          <w:p w14:paraId="6EBE77A0" w14:textId="77777777" w:rsidR="00175CF9" w:rsidRPr="00074369" w:rsidRDefault="00175CF9" w:rsidP="000B1026">
            <w:pPr>
              <w:spacing w:after="0" w:line="240" w:lineRule="auto"/>
              <w:jc w:val="left"/>
            </w:pPr>
            <w:r>
              <w:rPr>
                <w:color w:val="000000"/>
                <w:szCs w:val="20"/>
              </w:rPr>
              <w:t>-0.048</w:t>
            </w:r>
          </w:p>
        </w:tc>
        <w:tc>
          <w:tcPr>
            <w:tcW w:w="803" w:type="dxa"/>
            <w:gridSpan w:val="2"/>
            <w:vAlign w:val="bottom"/>
          </w:tcPr>
          <w:p w14:paraId="1C00218C" w14:textId="77777777" w:rsidR="00175CF9" w:rsidRPr="00074369" w:rsidRDefault="00175CF9" w:rsidP="000B1026">
            <w:pPr>
              <w:spacing w:after="0" w:line="240" w:lineRule="auto"/>
              <w:jc w:val="left"/>
            </w:pPr>
            <w:r>
              <w:rPr>
                <w:color w:val="000000"/>
                <w:szCs w:val="20"/>
              </w:rPr>
              <w:t>(-1.95)</w:t>
            </w:r>
          </w:p>
        </w:tc>
      </w:tr>
      <w:tr w:rsidR="00175CF9" w:rsidRPr="00074369" w14:paraId="43A644A5" w14:textId="77777777" w:rsidTr="000B1026">
        <w:trPr>
          <w:trHeight w:val="57"/>
        </w:trPr>
        <w:tc>
          <w:tcPr>
            <w:tcW w:w="1701" w:type="dxa"/>
            <w:hideMark/>
          </w:tcPr>
          <w:p w14:paraId="2E6F1C90" w14:textId="77777777" w:rsidR="00175CF9" w:rsidRPr="00074369" w:rsidRDefault="00175CF9" w:rsidP="000B1026">
            <w:pPr>
              <w:spacing w:after="0" w:line="240" w:lineRule="auto"/>
              <w:jc w:val="left"/>
            </w:pPr>
            <w:r w:rsidRPr="00074369">
              <w:rPr>
                <w:rFonts w:cstheme="minorHAnsi"/>
                <w:color w:val="000000" w:themeColor="text1"/>
                <w:kern w:val="24"/>
                <w:szCs w:val="20"/>
              </w:rPr>
              <w:t>VECINO</w:t>
            </w:r>
          </w:p>
        </w:tc>
        <w:tc>
          <w:tcPr>
            <w:tcW w:w="797" w:type="dxa"/>
            <w:vAlign w:val="bottom"/>
          </w:tcPr>
          <w:p w14:paraId="77A79A99" w14:textId="77777777" w:rsidR="00175CF9" w:rsidRPr="00074369" w:rsidRDefault="00175CF9" w:rsidP="000B1026">
            <w:pPr>
              <w:spacing w:after="0" w:line="240" w:lineRule="auto"/>
              <w:jc w:val="left"/>
            </w:pPr>
            <w:r>
              <w:rPr>
                <w:color w:val="000000"/>
                <w:szCs w:val="20"/>
              </w:rPr>
              <w:t>0.052</w:t>
            </w:r>
          </w:p>
        </w:tc>
        <w:tc>
          <w:tcPr>
            <w:tcW w:w="1000" w:type="dxa"/>
            <w:vAlign w:val="bottom"/>
          </w:tcPr>
          <w:p w14:paraId="73E2DB10" w14:textId="77777777" w:rsidR="00175CF9" w:rsidRPr="00074369" w:rsidRDefault="00175CF9" w:rsidP="000B1026">
            <w:pPr>
              <w:spacing w:after="0" w:line="240" w:lineRule="auto"/>
              <w:jc w:val="left"/>
            </w:pPr>
            <w:r>
              <w:rPr>
                <w:color w:val="000000"/>
                <w:szCs w:val="20"/>
              </w:rPr>
              <w:t>(3.09)</w:t>
            </w:r>
          </w:p>
        </w:tc>
        <w:tc>
          <w:tcPr>
            <w:tcW w:w="797" w:type="dxa"/>
            <w:vAlign w:val="bottom"/>
          </w:tcPr>
          <w:p w14:paraId="60FADBD6" w14:textId="77777777" w:rsidR="00175CF9" w:rsidRPr="00C971F8" w:rsidRDefault="00175CF9" w:rsidP="000B1026">
            <w:pPr>
              <w:spacing w:after="0" w:line="240" w:lineRule="auto"/>
              <w:jc w:val="left"/>
            </w:pPr>
            <w:r>
              <w:rPr>
                <w:color w:val="000000"/>
                <w:szCs w:val="20"/>
              </w:rPr>
              <w:t>0.036</w:t>
            </w:r>
          </w:p>
        </w:tc>
        <w:tc>
          <w:tcPr>
            <w:tcW w:w="798" w:type="dxa"/>
            <w:gridSpan w:val="2"/>
            <w:vAlign w:val="bottom"/>
          </w:tcPr>
          <w:p w14:paraId="12D097A8" w14:textId="77777777" w:rsidR="00175CF9" w:rsidRPr="00C971F8" w:rsidRDefault="00175CF9" w:rsidP="000B1026">
            <w:pPr>
              <w:spacing w:after="0" w:line="240" w:lineRule="auto"/>
              <w:jc w:val="left"/>
            </w:pPr>
            <w:r>
              <w:rPr>
                <w:color w:val="000000"/>
                <w:szCs w:val="20"/>
              </w:rPr>
              <w:t>(2.00)</w:t>
            </w:r>
          </w:p>
        </w:tc>
        <w:tc>
          <w:tcPr>
            <w:tcW w:w="797" w:type="dxa"/>
            <w:vAlign w:val="bottom"/>
          </w:tcPr>
          <w:p w14:paraId="6756C59F" w14:textId="77777777" w:rsidR="00175CF9" w:rsidRPr="00074369" w:rsidRDefault="00175CF9" w:rsidP="000B1026">
            <w:pPr>
              <w:spacing w:after="0" w:line="240" w:lineRule="auto"/>
              <w:jc w:val="left"/>
            </w:pPr>
            <w:r>
              <w:rPr>
                <w:color w:val="000000"/>
                <w:szCs w:val="20"/>
              </w:rPr>
              <w:t>0.023</w:t>
            </w:r>
          </w:p>
        </w:tc>
        <w:tc>
          <w:tcPr>
            <w:tcW w:w="1000" w:type="dxa"/>
            <w:vAlign w:val="bottom"/>
          </w:tcPr>
          <w:p w14:paraId="06E84A71" w14:textId="77777777" w:rsidR="00175CF9" w:rsidRPr="00074369" w:rsidRDefault="00175CF9" w:rsidP="000B1026">
            <w:pPr>
              <w:spacing w:after="0" w:line="240" w:lineRule="auto"/>
              <w:jc w:val="left"/>
            </w:pPr>
            <w:r>
              <w:rPr>
                <w:color w:val="000000"/>
                <w:szCs w:val="20"/>
              </w:rPr>
              <w:t>(1.12)</w:t>
            </w:r>
          </w:p>
        </w:tc>
        <w:tc>
          <w:tcPr>
            <w:tcW w:w="797" w:type="dxa"/>
            <w:vAlign w:val="bottom"/>
          </w:tcPr>
          <w:p w14:paraId="187C9730" w14:textId="77777777" w:rsidR="00175CF9" w:rsidRPr="00074369" w:rsidRDefault="00175CF9" w:rsidP="000B1026">
            <w:pPr>
              <w:spacing w:after="0" w:line="240" w:lineRule="auto"/>
              <w:jc w:val="left"/>
            </w:pPr>
            <w:r>
              <w:rPr>
                <w:color w:val="000000"/>
                <w:szCs w:val="20"/>
              </w:rPr>
              <w:t>0.024</w:t>
            </w:r>
          </w:p>
        </w:tc>
        <w:tc>
          <w:tcPr>
            <w:tcW w:w="803" w:type="dxa"/>
            <w:gridSpan w:val="2"/>
            <w:vAlign w:val="bottom"/>
          </w:tcPr>
          <w:p w14:paraId="7EC0C082" w14:textId="77777777" w:rsidR="00175CF9" w:rsidRPr="00074369" w:rsidRDefault="00175CF9" w:rsidP="000B1026">
            <w:pPr>
              <w:spacing w:after="0" w:line="240" w:lineRule="auto"/>
              <w:jc w:val="left"/>
            </w:pPr>
            <w:r>
              <w:rPr>
                <w:color w:val="000000"/>
                <w:szCs w:val="20"/>
              </w:rPr>
              <w:t>(1.12)</w:t>
            </w:r>
          </w:p>
        </w:tc>
      </w:tr>
      <w:tr w:rsidR="00175CF9" w:rsidRPr="00074369" w14:paraId="6EEE71A9" w14:textId="77777777" w:rsidTr="000B1026">
        <w:trPr>
          <w:trHeight w:val="57"/>
        </w:trPr>
        <w:tc>
          <w:tcPr>
            <w:tcW w:w="1701" w:type="dxa"/>
            <w:hideMark/>
          </w:tcPr>
          <w:p w14:paraId="5CA44CE0" w14:textId="77777777" w:rsidR="00175CF9" w:rsidRPr="00074369" w:rsidRDefault="00175CF9" w:rsidP="000B1026">
            <w:pPr>
              <w:spacing w:after="0" w:line="240" w:lineRule="auto"/>
              <w:jc w:val="left"/>
            </w:pPr>
            <w:r w:rsidRPr="00074369">
              <w:rPr>
                <w:rFonts w:cstheme="minorHAnsi"/>
                <w:color w:val="000000" w:themeColor="text1"/>
                <w:kern w:val="24"/>
                <w:szCs w:val="20"/>
              </w:rPr>
              <w:t>SC</w:t>
            </w:r>
          </w:p>
        </w:tc>
        <w:tc>
          <w:tcPr>
            <w:tcW w:w="797" w:type="dxa"/>
            <w:vAlign w:val="bottom"/>
          </w:tcPr>
          <w:p w14:paraId="26260C89" w14:textId="77777777" w:rsidR="00175CF9" w:rsidRPr="00074369" w:rsidRDefault="00175CF9" w:rsidP="000B1026">
            <w:pPr>
              <w:spacing w:after="0" w:line="240" w:lineRule="auto"/>
              <w:jc w:val="left"/>
            </w:pPr>
            <w:r>
              <w:rPr>
                <w:color w:val="000000"/>
                <w:szCs w:val="20"/>
              </w:rPr>
              <w:t>0.031</w:t>
            </w:r>
          </w:p>
        </w:tc>
        <w:tc>
          <w:tcPr>
            <w:tcW w:w="1000" w:type="dxa"/>
            <w:vAlign w:val="bottom"/>
          </w:tcPr>
          <w:p w14:paraId="1CBBB179" w14:textId="77777777" w:rsidR="00175CF9" w:rsidRPr="00074369" w:rsidRDefault="00175CF9" w:rsidP="000B1026">
            <w:pPr>
              <w:spacing w:after="0" w:line="240" w:lineRule="auto"/>
              <w:jc w:val="left"/>
            </w:pPr>
            <w:r>
              <w:rPr>
                <w:color w:val="000000"/>
                <w:szCs w:val="20"/>
              </w:rPr>
              <w:t>(0.62)</w:t>
            </w:r>
          </w:p>
        </w:tc>
        <w:tc>
          <w:tcPr>
            <w:tcW w:w="797" w:type="dxa"/>
            <w:vAlign w:val="bottom"/>
          </w:tcPr>
          <w:p w14:paraId="6794304B" w14:textId="77777777" w:rsidR="00175CF9" w:rsidRPr="00C971F8" w:rsidRDefault="00175CF9" w:rsidP="000B1026">
            <w:pPr>
              <w:spacing w:after="0" w:line="240" w:lineRule="auto"/>
              <w:jc w:val="left"/>
            </w:pPr>
            <w:r>
              <w:rPr>
                <w:color w:val="000000"/>
                <w:szCs w:val="20"/>
              </w:rPr>
              <w:t>-0.012</w:t>
            </w:r>
          </w:p>
        </w:tc>
        <w:tc>
          <w:tcPr>
            <w:tcW w:w="798" w:type="dxa"/>
            <w:gridSpan w:val="2"/>
            <w:vAlign w:val="bottom"/>
          </w:tcPr>
          <w:p w14:paraId="3B0D9612" w14:textId="77777777" w:rsidR="00175CF9" w:rsidRPr="00C971F8" w:rsidRDefault="00175CF9" w:rsidP="000B1026">
            <w:pPr>
              <w:spacing w:after="0" w:line="240" w:lineRule="auto"/>
              <w:jc w:val="left"/>
            </w:pPr>
            <w:r>
              <w:rPr>
                <w:color w:val="000000"/>
                <w:szCs w:val="20"/>
              </w:rPr>
              <w:t>(-0.20)</w:t>
            </w:r>
          </w:p>
        </w:tc>
        <w:tc>
          <w:tcPr>
            <w:tcW w:w="797" w:type="dxa"/>
            <w:vAlign w:val="bottom"/>
          </w:tcPr>
          <w:p w14:paraId="13430ECD" w14:textId="77777777" w:rsidR="00175CF9" w:rsidRPr="00074369" w:rsidRDefault="00175CF9" w:rsidP="000B1026">
            <w:pPr>
              <w:spacing w:after="0" w:line="240" w:lineRule="auto"/>
              <w:jc w:val="left"/>
            </w:pPr>
            <w:r>
              <w:rPr>
                <w:color w:val="000000"/>
                <w:szCs w:val="20"/>
              </w:rPr>
              <w:t>-0.108</w:t>
            </w:r>
          </w:p>
        </w:tc>
        <w:tc>
          <w:tcPr>
            <w:tcW w:w="1000" w:type="dxa"/>
            <w:vAlign w:val="bottom"/>
          </w:tcPr>
          <w:p w14:paraId="0E9B9549" w14:textId="77777777" w:rsidR="00175CF9" w:rsidRPr="00074369" w:rsidRDefault="00175CF9" w:rsidP="000B1026">
            <w:pPr>
              <w:spacing w:after="0" w:line="240" w:lineRule="auto"/>
              <w:jc w:val="left"/>
            </w:pPr>
            <w:r>
              <w:rPr>
                <w:color w:val="000000"/>
                <w:szCs w:val="20"/>
              </w:rPr>
              <w:t>(-1.8)</w:t>
            </w:r>
          </w:p>
        </w:tc>
        <w:tc>
          <w:tcPr>
            <w:tcW w:w="797" w:type="dxa"/>
            <w:vAlign w:val="bottom"/>
          </w:tcPr>
          <w:p w14:paraId="01BAB796" w14:textId="77777777" w:rsidR="00175CF9" w:rsidRPr="00074369" w:rsidRDefault="00175CF9" w:rsidP="000B1026">
            <w:pPr>
              <w:spacing w:after="0" w:line="240" w:lineRule="auto"/>
              <w:jc w:val="left"/>
            </w:pPr>
            <w:r>
              <w:rPr>
                <w:color w:val="000000"/>
                <w:szCs w:val="20"/>
              </w:rPr>
              <w:t>-0.01</w:t>
            </w:r>
          </w:p>
        </w:tc>
        <w:tc>
          <w:tcPr>
            <w:tcW w:w="803" w:type="dxa"/>
            <w:gridSpan w:val="2"/>
            <w:vAlign w:val="bottom"/>
          </w:tcPr>
          <w:p w14:paraId="7321B375" w14:textId="77777777" w:rsidR="00175CF9" w:rsidRPr="00074369" w:rsidRDefault="00175CF9" w:rsidP="000B1026">
            <w:pPr>
              <w:spacing w:after="0" w:line="240" w:lineRule="auto"/>
              <w:jc w:val="left"/>
            </w:pPr>
            <w:r>
              <w:rPr>
                <w:color w:val="000000"/>
                <w:szCs w:val="20"/>
              </w:rPr>
              <w:t>(-0.14)</w:t>
            </w:r>
          </w:p>
        </w:tc>
      </w:tr>
      <w:tr w:rsidR="00175CF9" w:rsidRPr="00074369" w14:paraId="6B4B86C6" w14:textId="77777777" w:rsidTr="000B1026">
        <w:trPr>
          <w:trHeight w:val="57"/>
        </w:trPr>
        <w:tc>
          <w:tcPr>
            <w:tcW w:w="1701" w:type="dxa"/>
          </w:tcPr>
          <w:p w14:paraId="4C8B4F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W*Primax</w:t>
            </w:r>
          </w:p>
        </w:tc>
        <w:tc>
          <w:tcPr>
            <w:tcW w:w="797" w:type="dxa"/>
            <w:vAlign w:val="bottom"/>
          </w:tcPr>
          <w:p w14:paraId="17707D14" w14:textId="77777777" w:rsidR="00175CF9" w:rsidRPr="00074369" w:rsidRDefault="00175CF9" w:rsidP="000B1026">
            <w:pPr>
              <w:spacing w:after="0" w:line="240" w:lineRule="auto"/>
              <w:jc w:val="left"/>
              <w:rPr>
                <w:color w:val="000000" w:themeColor="text1"/>
                <w:kern w:val="24"/>
              </w:rPr>
            </w:pPr>
            <w:r>
              <w:rPr>
                <w:color w:val="000000"/>
                <w:szCs w:val="20"/>
              </w:rPr>
              <w:t>-0.128</w:t>
            </w:r>
          </w:p>
        </w:tc>
        <w:tc>
          <w:tcPr>
            <w:tcW w:w="1000" w:type="dxa"/>
            <w:vAlign w:val="bottom"/>
          </w:tcPr>
          <w:p w14:paraId="517B1705" w14:textId="77777777" w:rsidR="00175CF9" w:rsidRPr="00074369" w:rsidRDefault="00175CF9" w:rsidP="000B1026">
            <w:pPr>
              <w:spacing w:after="0" w:line="240" w:lineRule="auto"/>
              <w:jc w:val="left"/>
              <w:rPr>
                <w:color w:val="000000" w:themeColor="text1"/>
                <w:kern w:val="24"/>
              </w:rPr>
            </w:pPr>
            <w:r>
              <w:rPr>
                <w:color w:val="000000"/>
                <w:szCs w:val="20"/>
              </w:rPr>
              <w:t>(-2.07)</w:t>
            </w:r>
          </w:p>
        </w:tc>
        <w:tc>
          <w:tcPr>
            <w:tcW w:w="797" w:type="dxa"/>
            <w:vAlign w:val="bottom"/>
          </w:tcPr>
          <w:p w14:paraId="7A2F01D7" w14:textId="77777777" w:rsidR="00175CF9" w:rsidRPr="00C971F8" w:rsidRDefault="00175CF9" w:rsidP="000B1026">
            <w:pPr>
              <w:spacing w:after="0" w:line="240" w:lineRule="auto"/>
              <w:jc w:val="left"/>
              <w:rPr>
                <w:color w:val="000000" w:themeColor="text1"/>
                <w:kern w:val="24"/>
              </w:rPr>
            </w:pPr>
            <w:r>
              <w:rPr>
                <w:color w:val="000000"/>
                <w:szCs w:val="20"/>
              </w:rPr>
              <w:t>-0.047</w:t>
            </w:r>
          </w:p>
        </w:tc>
        <w:tc>
          <w:tcPr>
            <w:tcW w:w="798" w:type="dxa"/>
            <w:gridSpan w:val="2"/>
            <w:vAlign w:val="bottom"/>
          </w:tcPr>
          <w:p w14:paraId="78668BF0" w14:textId="77777777" w:rsidR="00175CF9" w:rsidRPr="00C971F8" w:rsidRDefault="00175CF9" w:rsidP="000B1026">
            <w:pPr>
              <w:spacing w:after="0" w:line="240" w:lineRule="auto"/>
              <w:jc w:val="left"/>
              <w:rPr>
                <w:color w:val="000000" w:themeColor="text1"/>
                <w:kern w:val="24"/>
              </w:rPr>
            </w:pPr>
            <w:r>
              <w:rPr>
                <w:color w:val="000000"/>
                <w:szCs w:val="20"/>
              </w:rPr>
              <w:t>(-0.83)</w:t>
            </w:r>
          </w:p>
        </w:tc>
        <w:tc>
          <w:tcPr>
            <w:tcW w:w="797" w:type="dxa"/>
            <w:vAlign w:val="bottom"/>
          </w:tcPr>
          <w:p w14:paraId="111379B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-0.003</w:t>
            </w:r>
          </w:p>
        </w:tc>
        <w:tc>
          <w:tcPr>
            <w:tcW w:w="1000" w:type="dxa"/>
            <w:vAlign w:val="bottom"/>
          </w:tcPr>
          <w:p w14:paraId="3330266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(-0.04)</w:t>
            </w:r>
          </w:p>
        </w:tc>
        <w:tc>
          <w:tcPr>
            <w:tcW w:w="797" w:type="dxa"/>
            <w:vAlign w:val="bottom"/>
          </w:tcPr>
          <w:p w14:paraId="593D687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-0.038</w:t>
            </w:r>
          </w:p>
        </w:tc>
        <w:tc>
          <w:tcPr>
            <w:tcW w:w="803" w:type="dxa"/>
            <w:gridSpan w:val="2"/>
            <w:vAlign w:val="bottom"/>
          </w:tcPr>
          <w:p w14:paraId="23DCDE5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(-0.58)</w:t>
            </w:r>
          </w:p>
        </w:tc>
      </w:tr>
      <w:tr w:rsidR="00175CF9" w:rsidRPr="00074369" w14:paraId="0D2C985D" w14:textId="77777777" w:rsidTr="000B1026">
        <w:trPr>
          <w:trHeight w:val="57"/>
        </w:trPr>
        <w:tc>
          <w:tcPr>
            <w:tcW w:w="1701" w:type="dxa"/>
          </w:tcPr>
          <w:p w14:paraId="4B7E56D6"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W*CONTRATO</w:t>
            </w:r>
          </w:p>
        </w:tc>
        <w:tc>
          <w:tcPr>
            <w:tcW w:w="797" w:type="dxa"/>
            <w:vAlign w:val="bottom"/>
          </w:tcPr>
          <w:p w14:paraId="48D621CA" w14:textId="77777777" w:rsidR="00175CF9" w:rsidRPr="00074369" w:rsidRDefault="00175CF9" w:rsidP="000B1026">
            <w:pPr>
              <w:spacing w:after="0" w:line="240" w:lineRule="auto"/>
              <w:jc w:val="left"/>
              <w:rPr>
                <w:color w:val="000000" w:themeColor="text1"/>
                <w:kern w:val="24"/>
              </w:rPr>
            </w:pPr>
            <w:r>
              <w:rPr>
                <w:color w:val="000000"/>
                <w:szCs w:val="20"/>
              </w:rPr>
              <w:t>0.11</w:t>
            </w:r>
          </w:p>
        </w:tc>
        <w:tc>
          <w:tcPr>
            <w:tcW w:w="1000" w:type="dxa"/>
            <w:vAlign w:val="bottom"/>
          </w:tcPr>
          <w:p w14:paraId="59DB1840" w14:textId="77777777" w:rsidR="00175CF9" w:rsidRPr="00074369" w:rsidRDefault="00175CF9" w:rsidP="000B1026">
            <w:pPr>
              <w:spacing w:after="0" w:line="240" w:lineRule="auto"/>
              <w:jc w:val="left"/>
              <w:rPr>
                <w:color w:val="000000" w:themeColor="text1"/>
                <w:kern w:val="24"/>
              </w:rPr>
            </w:pPr>
            <w:r>
              <w:rPr>
                <w:color w:val="000000"/>
                <w:szCs w:val="20"/>
              </w:rPr>
              <w:t>(2.76)</w:t>
            </w:r>
          </w:p>
        </w:tc>
        <w:tc>
          <w:tcPr>
            <w:tcW w:w="797" w:type="dxa"/>
            <w:vAlign w:val="bottom"/>
          </w:tcPr>
          <w:p w14:paraId="453E2F3C" w14:textId="77777777" w:rsidR="00175CF9" w:rsidRPr="00C971F8" w:rsidRDefault="00175CF9" w:rsidP="000B1026">
            <w:pPr>
              <w:spacing w:after="0" w:line="240" w:lineRule="auto"/>
              <w:jc w:val="left"/>
              <w:rPr>
                <w:color w:val="000000" w:themeColor="text1"/>
                <w:kern w:val="24"/>
              </w:rPr>
            </w:pPr>
            <w:r>
              <w:rPr>
                <w:color w:val="000000"/>
                <w:szCs w:val="20"/>
              </w:rPr>
              <w:t>0.109</w:t>
            </w:r>
          </w:p>
        </w:tc>
        <w:tc>
          <w:tcPr>
            <w:tcW w:w="798" w:type="dxa"/>
            <w:gridSpan w:val="2"/>
            <w:vAlign w:val="bottom"/>
          </w:tcPr>
          <w:p w14:paraId="7DA6DE6B" w14:textId="77777777" w:rsidR="00175CF9" w:rsidRPr="00C971F8" w:rsidRDefault="00175CF9" w:rsidP="000B1026">
            <w:pPr>
              <w:spacing w:after="0" w:line="240" w:lineRule="auto"/>
              <w:jc w:val="left"/>
              <w:rPr>
                <w:color w:val="000000" w:themeColor="text1"/>
                <w:kern w:val="24"/>
              </w:rPr>
            </w:pPr>
            <w:r>
              <w:rPr>
                <w:color w:val="000000"/>
                <w:szCs w:val="20"/>
              </w:rPr>
              <w:t>(2.44)</w:t>
            </w:r>
          </w:p>
        </w:tc>
        <w:tc>
          <w:tcPr>
            <w:tcW w:w="797" w:type="dxa"/>
            <w:vAlign w:val="bottom"/>
          </w:tcPr>
          <w:p w14:paraId="05AFB5F8"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-0.026</w:t>
            </w:r>
          </w:p>
        </w:tc>
        <w:tc>
          <w:tcPr>
            <w:tcW w:w="1000" w:type="dxa"/>
            <w:vAlign w:val="bottom"/>
          </w:tcPr>
          <w:p w14:paraId="40E4B1C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(-0.53)</w:t>
            </w:r>
          </w:p>
        </w:tc>
        <w:tc>
          <w:tcPr>
            <w:tcW w:w="797" w:type="dxa"/>
            <w:vAlign w:val="bottom"/>
          </w:tcPr>
          <w:p w14:paraId="2083F79B"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0.136</w:t>
            </w:r>
          </w:p>
        </w:tc>
        <w:tc>
          <w:tcPr>
            <w:tcW w:w="803" w:type="dxa"/>
            <w:gridSpan w:val="2"/>
            <w:vAlign w:val="bottom"/>
          </w:tcPr>
          <w:p w14:paraId="01BEBB85"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(2.58)</w:t>
            </w:r>
          </w:p>
        </w:tc>
      </w:tr>
      <w:tr w:rsidR="00175CF9" w:rsidRPr="00074369" w14:paraId="303C5244" w14:textId="77777777" w:rsidTr="000B1026">
        <w:trPr>
          <w:trHeight w:val="57"/>
        </w:trPr>
        <w:tc>
          <w:tcPr>
            <w:tcW w:w="1701" w:type="dxa"/>
          </w:tcPr>
          <w:p w14:paraId="02DDE0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W*VECINO</w:t>
            </w:r>
          </w:p>
        </w:tc>
        <w:tc>
          <w:tcPr>
            <w:tcW w:w="797" w:type="dxa"/>
            <w:vAlign w:val="bottom"/>
          </w:tcPr>
          <w:p w14:paraId="14F4F937" w14:textId="77777777" w:rsidR="00175CF9" w:rsidRPr="00074369" w:rsidRDefault="00175CF9" w:rsidP="000B1026">
            <w:pPr>
              <w:spacing w:after="0" w:line="240" w:lineRule="auto"/>
              <w:jc w:val="left"/>
              <w:rPr>
                <w:color w:val="000000" w:themeColor="text1"/>
                <w:kern w:val="24"/>
              </w:rPr>
            </w:pPr>
            <w:r>
              <w:rPr>
                <w:color w:val="000000"/>
                <w:szCs w:val="20"/>
              </w:rPr>
              <w:t>-0.025</w:t>
            </w:r>
          </w:p>
        </w:tc>
        <w:tc>
          <w:tcPr>
            <w:tcW w:w="1000" w:type="dxa"/>
            <w:vAlign w:val="bottom"/>
          </w:tcPr>
          <w:p w14:paraId="1509685D" w14:textId="77777777" w:rsidR="00175CF9" w:rsidRPr="00074369" w:rsidRDefault="00175CF9" w:rsidP="000B1026">
            <w:pPr>
              <w:spacing w:after="0" w:line="240" w:lineRule="auto"/>
              <w:jc w:val="left"/>
              <w:rPr>
                <w:color w:val="000000" w:themeColor="text1"/>
                <w:kern w:val="24"/>
              </w:rPr>
            </w:pPr>
            <w:r>
              <w:rPr>
                <w:color w:val="000000"/>
                <w:szCs w:val="20"/>
              </w:rPr>
              <w:t>(-1.02)</w:t>
            </w:r>
          </w:p>
        </w:tc>
        <w:tc>
          <w:tcPr>
            <w:tcW w:w="797" w:type="dxa"/>
            <w:vAlign w:val="bottom"/>
          </w:tcPr>
          <w:p w14:paraId="24F56FE4" w14:textId="77777777" w:rsidR="00175CF9" w:rsidRPr="00C971F8" w:rsidRDefault="00175CF9" w:rsidP="000B1026">
            <w:pPr>
              <w:spacing w:after="0" w:line="240" w:lineRule="auto"/>
              <w:jc w:val="left"/>
              <w:rPr>
                <w:color w:val="000000" w:themeColor="text1"/>
                <w:kern w:val="24"/>
              </w:rPr>
            </w:pPr>
            <w:r>
              <w:rPr>
                <w:color w:val="000000"/>
                <w:szCs w:val="20"/>
              </w:rPr>
              <w:t>-0.076</w:t>
            </w:r>
          </w:p>
        </w:tc>
        <w:tc>
          <w:tcPr>
            <w:tcW w:w="798" w:type="dxa"/>
            <w:gridSpan w:val="2"/>
            <w:vAlign w:val="bottom"/>
          </w:tcPr>
          <w:p w14:paraId="76D23B06" w14:textId="77777777" w:rsidR="00175CF9" w:rsidRPr="00C971F8" w:rsidRDefault="00175CF9" w:rsidP="000B1026">
            <w:pPr>
              <w:spacing w:after="0" w:line="240" w:lineRule="auto"/>
              <w:jc w:val="left"/>
              <w:rPr>
                <w:color w:val="000000" w:themeColor="text1"/>
                <w:kern w:val="24"/>
              </w:rPr>
            </w:pPr>
            <w:r>
              <w:rPr>
                <w:color w:val="000000"/>
                <w:szCs w:val="20"/>
              </w:rPr>
              <w:t>(-2.78)</w:t>
            </w:r>
          </w:p>
        </w:tc>
        <w:tc>
          <w:tcPr>
            <w:tcW w:w="797" w:type="dxa"/>
            <w:vAlign w:val="bottom"/>
          </w:tcPr>
          <w:p w14:paraId="7A2F463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0.034</w:t>
            </w:r>
          </w:p>
        </w:tc>
        <w:tc>
          <w:tcPr>
            <w:tcW w:w="1000" w:type="dxa"/>
            <w:vAlign w:val="bottom"/>
          </w:tcPr>
          <w:p w14:paraId="02A6BC7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(1.15)</w:t>
            </w:r>
          </w:p>
        </w:tc>
        <w:tc>
          <w:tcPr>
            <w:tcW w:w="797" w:type="dxa"/>
            <w:vAlign w:val="bottom"/>
          </w:tcPr>
          <w:p w14:paraId="519942D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0.006</w:t>
            </w:r>
          </w:p>
        </w:tc>
        <w:tc>
          <w:tcPr>
            <w:tcW w:w="803" w:type="dxa"/>
            <w:gridSpan w:val="2"/>
            <w:vAlign w:val="bottom"/>
          </w:tcPr>
          <w:p w14:paraId="7FA6775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(0.20)</w:t>
            </w:r>
          </w:p>
        </w:tc>
      </w:tr>
      <w:tr w:rsidR="00175CF9" w:rsidRPr="00074369" w14:paraId="3BD1392B" w14:textId="77777777" w:rsidTr="000B1026">
        <w:trPr>
          <w:trHeight w:val="57"/>
        </w:trPr>
        <w:tc>
          <w:tcPr>
            <w:tcW w:w="1701" w:type="dxa"/>
          </w:tcPr>
          <w:p w14:paraId="152CCDA7"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W*SC</w:t>
            </w:r>
          </w:p>
        </w:tc>
        <w:tc>
          <w:tcPr>
            <w:tcW w:w="797" w:type="dxa"/>
            <w:vAlign w:val="bottom"/>
          </w:tcPr>
          <w:p w14:paraId="72DA3610" w14:textId="77777777" w:rsidR="00175CF9" w:rsidRPr="00074369" w:rsidRDefault="00175CF9" w:rsidP="000B1026">
            <w:pPr>
              <w:spacing w:after="0" w:line="240" w:lineRule="auto"/>
              <w:jc w:val="left"/>
              <w:rPr>
                <w:color w:val="000000" w:themeColor="text1"/>
                <w:kern w:val="24"/>
              </w:rPr>
            </w:pPr>
            <w:r>
              <w:rPr>
                <w:color w:val="000000"/>
                <w:szCs w:val="20"/>
              </w:rPr>
              <w:t>0.144</w:t>
            </w:r>
          </w:p>
        </w:tc>
        <w:tc>
          <w:tcPr>
            <w:tcW w:w="1000" w:type="dxa"/>
            <w:vAlign w:val="bottom"/>
          </w:tcPr>
          <w:p w14:paraId="3858FF12" w14:textId="77777777" w:rsidR="00175CF9" w:rsidRPr="00074369" w:rsidRDefault="00175CF9" w:rsidP="000B1026">
            <w:pPr>
              <w:spacing w:after="0" w:line="240" w:lineRule="auto"/>
              <w:jc w:val="left"/>
              <w:rPr>
                <w:color w:val="000000" w:themeColor="text1"/>
                <w:kern w:val="24"/>
              </w:rPr>
            </w:pPr>
            <w:r>
              <w:rPr>
                <w:color w:val="000000"/>
                <w:szCs w:val="20"/>
              </w:rPr>
              <w:t>(2.17)</w:t>
            </w:r>
          </w:p>
        </w:tc>
        <w:tc>
          <w:tcPr>
            <w:tcW w:w="797" w:type="dxa"/>
            <w:vAlign w:val="bottom"/>
          </w:tcPr>
          <w:p w14:paraId="493E27BC" w14:textId="77777777" w:rsidR="00175CF9" w:rsidRPr="00C971F8" w:rsidRDefault="00175CF9" w:rsidP="000B1026">
            <w:pPr>
              <w:spacing w:after="0" w:line="240" w:lineRule="auto"/>
              <w:jc w:val="left"/>
              <w:rPr>
                <w:color w:val="000000" w:themeColor="text1"/>
                <w:kern w:val="24"/>
              </w:rPr>
            </w:pPr>
            <w:r>
              <w:rPr>
                <w:color w:val="000000"/>
                <w:szCs w:val="20"/>
              </w:rPr>
              <w:t>0.094</w:t>
            </w:r>
          </w:p>
        </w:tc>
        <w:tc>
          <w:tcPr>
            <w:tcW w:w="798" w:type="dxa"/>
            <w:gridSpan w:val="2"/>
            <w:vAlign w:val="bottom"/>
          </w:tcPr>
          <w:p w14:paraId="70873B19" w14:textId="77777777" w:rsidR="00175CF9" w:rsidRPr="00C971F8" w:rsidRDefault="00175CF9" w:rsidP="000B1026">
            <w:pPr>
              <w:spacing w:after="0" w:line="240" w:lineRule="auto"/>
              <w:jc w:val="left"/>
              <w:rPr>
                <w:color w:val="000000" w:themeColor="text1"/>
                <w:kern w:val="24"/>
              </w:rPr>
            </w:pPr>
            <w:r>
              <w:rPr>
                <w:color w:val="000000"/>
                <w:szCs w:val="20"/>
              </w:rPr>
              <w:t>(1.17)</w:t>
            </w:r>
          </w:p>
        </w:tc>
        <w:tc>
          <w:tcPr>
            <w:tcW w:w="797" w:type="dxa"/>
            <w:vAlign w:val="bottom"/>
          </w:tcPr>
          <w:p w14:paraId="0EF32C3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0.167</w:t>
            </w:r>
          </w:p>
        </w:tc>
        <w:tc>
          <w:tcPr>
            <w:tcW w:w="1000" w:type="dxa"/>
            <w:vAlign w:val="bottom"/>
          </w:tcPr>
          <w:p w14:paraId="21F2FBE4"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(2.05)</w:t>
            </w:r>
          </w:p>
        </w:tc>
        <w:tc>
          <w:tcPr>
            <w:tcW w:w="797" w:type="dxa"/>
            <w:vAlign w:val="bottom"/>
          </w:tcPr>
          <w:p w14:paraId="01B6142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0.002</w:t>
            </w:r>
          </w:p>
        </w:tc>
        <w:tc>
          <w:tcPr>
            <w:tcW w:w="803" w:type="dxa"/>
            <w:gridSpan w:val="2"/>
            <w:vAlign w:val="bottom"/>
          </w:tcPr>
          <w:p w14:paraId="412ECF3D"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w:t>
            </w:r>
          </w:p>
        </w:tc>
      </w:tr>
      <w:tr w:rsidR="00175CF9" w:rsidRPr="00074369" w14:paraId="2A8BBE3B" w14:textId="77777777" w:rsidTr="000B1026">
        <w:trPr>
          <w:trHeight w:val="57"/>
        </w:trPr>
        <w:tc>
          <w:tcPr>
            <w:tcW w:w="1701" w:type="dxa"/>
            <w:hideMark/>
          </w:tcPr>
          <w:p w14:paraId="648B0794" w14:textId="77777777" w:rsidR="00175CF9" w:rsidRPr="00074369" w:rsidRDefault="00175CF9" w:rsidP="000B1026">
            <w:pPr>
              <w:spacing w:after="0" w:line="240" w:lineRule="auto"/>
              <w:jc w:val="left"/>
            </w:pPr>
            <w:r w:rsidRPr="00074369">
              <w:rPr>
                <w:rFonts w:cstheme="minorHAnsi"/>
                <w:color w:val="000000" w:themeColor="text1"/>
                <w:kern w:val="24"/>
                <w:szCs w:val="20"/>
              </w:rPr>
              <w:t>¿Dummies por mes?</w:t>
            </w:r>
          </w:p>
        </w:tc>
        <w:tc>
          <w:tcPr>
            <w:tcW w:w="1797" w:type="dxa"/>
            <w:gridSpan w:val="2"/>
            <w:vAlign w:val="center"/>
            <w:hideMark/>
          </w:tcPr>
          <w:p w14:paraId="44AE9441" w14:textId="77777777" w:rsidR="00175CF9" w:rsidRPr="00074369" w:rsidRDefault="00175CF9" w:rsidP="000B1026">
            <w:pPr>
              <w:spacing w:after="0" w:line="240" w:lineRule="auto"/>
              <w:jc w:val="center"/>
            </w:pPr>
            <w:r w:rsidRPr="00074369">
              <w:rPr>
                <w:color w:val="000000" w:themeColor="text1"/>
                <w:kern w:val="24"/>
              </w:rPr>
              <w:t>Sí</w:t>
            </w:r>
          </w:p>
        </w:tc>
        <w:tc>
          <w:tcPr>
            <w:tcW w:w="1595" w:type="dxa"/>
            <w:gridSpan w:val="3"/>
            <w:vAlign w:val="center"/>
            <w:hideMark/>
          </w:tcPr>
          <w:p w14:paraId="787A5322" w14:textId="77777777" w:rsidR="00175CF9" w:rsidRPr="00074369" w:rsidRDefault="00175CF9" w:rsidP="000B1026">
            <w:pPr>
              <w:spacing w:after="0" w:line="240" w:lineRule="auto"/>
              <w:jc w:val="center"/>
            </w:pPr>
            <w:r w:rsidRPr="00074369">
              <w:rPr>
                <w:color w:val="000000" w:themeColor="text1"/>
                <w:kern w:val="24"/>
              </w:rPr>
              <w:t>Sí</w:t>
            </w:r>
          </w:p>
        </w:tc>
        <w:tc>
          <w:tcPr>
            <w:tcW w:w="1797" w:type="dxa"/>
            <w:gridSpan w:val="2"/>
            <w:vAlign w:val="center"/>
            <w:hideMark/>
          </w:tcPr>
          <w:p w14:paraId="07D4312C"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c>
          <w:tcPr>
            <w:tcW w:w="1600" w:type="dxa"/>
            <w:gridSpan w:val="3"/>
            <w:vAlign w:val="center"/>
            <w:hideMark/>
          </w:tcPr>
          <w:p w14:paraId="726F152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r>
      <w:tr w:rsidR="00175CF9" w:rsidRPr="00074369" w14:paraId="5CC91777" w14:textId="77777777" w:rsidTr="000B1026">
        <w:trPr>
          <w:trHeight w:val="57"/>
        </w:trPr>
        <w:tc>
          <w:tcPr>
            <w:tcW w:w="1701" w:type="dxa"/>
            <w:hideMark/>
          </w:tcPr>
          <w:p w14:paraId="4E0DAC7B" w14:textId="77777777" w:rsidR="00175CF9" w:rsidRPr="00074369" w:rsidRDefault="00175CF9" w:rsidP="000B1026">
            <w:pPr>
              <w:spacing w:after="0" w:line="240" w:lineRule="auto"/>
              <w:jc w:val="left"/>
            </w:pPr>
            <w:r>
              <w:t>Prueba LR SAR</w:t>
            </w:r>
          </w:p>
        </w:tc>
        <w:tc>
          <w:tcPr>
            <w:tcW w:w="797" w:type="dxa"/>
          </w:tcPr>
          <w:p w14:paraId="7D9EDCB9"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17.29 </w:t>
            </w:r>
          </w:p>
        </w:tc>
        <w:tc>
          <w:tcPr>
            <w:tcW w:w="1000" w:type="dxa"/>
          </w:tcPr>
          <w:p w14:paraId="52869094"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[0.0017]</w:t>
            </w:r>
          </w:p>
        </w:tc>
        <w:tc>
          <w:tcPr>
            <w:tcW w:w="1595" w:type="dxa"/>
            <w:gridSpan w:val="3"/>
            <w:hideMark/>
          </w:tcPr>
          <w:p w14:paraId="0F6562D9" w14:textId="77777777" w:rsidR="00175CF9" w:rsidRPr="00074369" w:rsidRDefault="00175CF9" w:rsidP="000B1026">
            <w:pPr>
              <w:spacing w:after="0" w:line="240" w:lineRule="auto"/>
              <w:jc w:val="left"/>
              <w:textAlignment w:val="top"/>
              <w:rPr>
                <w:color w:val="000000" w:themeColor="text1"/>
                <w:kern w:val="24"/>
              </w:rPr>
            </w:pPr>
            <w:r w:rsidRPr="00010DA6">
              <w:rPr>
                <w:rFonts w:cstheme="minorHAnsi"/>
                <w:color w:val="000000" w:themeColor="text1"/>
                <w:kern w:val="24"/>
                <w:szCs w:val="20"/>
              </w:rPr>
              <w:t xml:space="preserve">15.41 </w:t>
            </w:r>
            <w:r>
              <w:rPr>
                <w:rFonts w:cstheme="minorHAnsi"/>
                <w:color w:val="000000" w:themeColor="text1"/>
                <w:kern w:val="24"/>
                <w:szCs w:val="20"/>
              </w:rPr>
              <w:t>[</w:t>
            </w:r>
            <w:r w:rsidRPr="00010DA6">
              <w:rPr>
                <w:rFonts w:cstheme="minorHAnsi"/>
                <w:color w:val="000000" w:themeColor="text1"/>
                <w:kern w:val="24"/>
                <w:szCs w:val="20"/>
              </w:rPr>
              <w:t>0.0039</w:t>
            </w:r>
            <w:r w:rsidRPr="00074369">
              <w:rPr>
                <w:rFonts w:cstheme="minorHAnsi"/>
                <w:color w:val="000000" w:themeColor="text1"/>
                <w:kern w:val="24"/>
                <w:szCs w:val="20"/>
              </w:rPr>
              <w:t>]</w:t>
            </w:r>
          </w:p>
        </w:tc>
        <w:tc>
          <w:tcPr>
            <w:tcW w:w="797" w:type="dxa"/>
            <w:vAlign w:val="center"/>
          </w:tcPr>
          <w:p w14:paraId="3F8DD395" w14:textId="77777777" w:rsidR="00175CF9" w:rsidRPr="00074369" w:rsidRDefault="00175CF9" w:rsidP="000B1026">
            <w:pPr>
              <w:spacing w:after="0" w:line="240" w:lineRule="auto"/>
              <w:jc w:val="left"/>
              <w:textAlignment w:val="top"/>
              <w:rPr>
                <w:color w:val="000000" w:themeColor="text1"/>
                <w:kern w:val="24"/>
              </w:rPr>
            </w:pPr>
            <w:r w:rsidRPr="00ED019F">
              <w:rPr>
                <w:color w:val="000000" w:themeColor="text1"/>
                <w:kern w:val="24"/>
              </w:rPr>
              <w:t>9.28</w:t>
            </w:r>
          </w:p>
        </w:tc>
        <w:tc>
          <w:tcPr>
            <w:tcW w:w="1000" w:type="dxa"/>
            <w:vAlign w:val="center"/>
          </w:tcPr>
          <w:p w14:paraId="3EFAD02C"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w:t>
            </w:r>
            <w:r w:rsidRPr="00ED019F">
              <w:rPr>
                <w:color w:val="000000" w:themeColor="text1"/>
                <w:kern w:val="24"/>
              </w:rPr>
              <w:t>0.0543</w:t>
            </w:r>
            <w:r>
              <w:rPr>
                <w:color w:val="000000" w:themeColor="text1"/>
                <w:kern w:val="24"/>
              </w:rPr>
              <w:t>]</w:t>
            </w:r>
          </w:p>
        </w:tc>
        <w:tc>
          <w:tcPr>
            <w:tcW w:w="797" w:type="dxa"/>
            <w:vAlign w:val="center"/>
          </w:tcPr>
          <w:p w14:paraId="3711080B" w14:textId="77777777" w:rsidR="00175CF9" w:rsidRPr="00074369" w:rsidRDefault="00175CF9" w:rsidP="000B1026">
            <w:pPr>
              <w:spacing w:after="0" w:line="240" w:lineRule="auto"/>
              <w:jc w:val="left"/>
              <w:textAlignment w:val="top"/>
              <w:rPr>
                <w:color w:val="000000" w:themeColor="text1"/>
                <w:kern w:val="24"/>
              </w:rPr>
            </w:pPr>
            <w:r w:rsidRPr="00845BBA">
              <w:rPr>
                <w:color w:val="000000" w:themeColor="text1"/>
                <w:kern w:val="24"/>
              </w:rPr>
              <w:t>7.17</w:t>
            </w:r>
          </w:p>
        </w:tc>
        <w:tc>
          <w:tcPr>
            <w:tcW w:w="803" w:type="dxa"/>
            <w:gridSpan w:val="2"/>
            <w:vAlign w:val="center"/>
          </w:tcPr>
          <w:p w14:paraId="236E6298"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[0.13]</w:t>
            </w:r>
          </w:p>
        </w:tc>
      </w:tr>
      <w:tr w:rsidR="00175CF9" w:rsidRPr="00074369" w14:paraId="62EDAFD3" w14:textId="77777777" w:rsidTr="000B1026">
        <w:trPr>
          <w:trHeight w:val="57"/>
        </w:trPr>
        <w:tc>
          <w:tcPr>
            <w:tcW w:w="1701" w:type="dxa"/>
            <w:hideMark/>
          </w:tcPr>
          <w:p w14:paraId="29961D8D" w14:textId="77777777" w:rsidR="00175CF9" w:rsidRPr="00074369" w:rsidRDefault="00175CF9" w:rsidP="000B1026">
            <w:pPr>
              <w:spacing w:after="0" w:line="240" w:lineRule="auto"/>
              <w:jc w:val="left"/>
            </w:pPr>
            <w:r>
              <w:t>Prueba LR SEM</w:t>
            </w:r>
          </w:p>
        </w:tc>
        <w:tc>
          <w:tcPr>
            <w:tcW w:w="797" w:type="dxa"/>
          </w:tcPr>
          <w:p w14:paraId="7EF884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16.99 </w:t>
            </w:r>
          </w:p>
        </w:tc>
        <w:tc>
          <w:tcPr>
            <w:tcW w:w="1000" w:type="dxa"/>
          </w:tcPr>
          <w:p w14:paraId="1F034A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[0.0019]</w:t>
            </w:r>
          </w:p>
        </w:tc>
        <w:tc>
          <w:tcPr>
            <w:tcW w:w="1595" w:type="dxa"/>
            <w:gridSpan w:val="3"/>
            <w:hideMark/>
          </w:tcPr>
          <w:p w14:paraId="5C50F2BF" w14:textId="77777777" w:rsidR="00175CF9" w:rsidRPr="00074369" w:rsidRDefault="00175CF9" w:rsidP="000B1026">
            <w:pPr>
              <w:spacing w:after="0" w:line="240" w:lineRule="auto"/>
              <w:jc w:val="left"/>
              <w:textAlignment w:val="top"/>
              <w:rPr>
                <w:color w:val="000000" w:themeColor="text1"/>
                <w:kern w:val="24"/>
              </w:rPr>
            </w:pPr>
            <w:r>
              <w:rPr>
                <w:rFonts w:cstheme="minorHAnsi"/>
                <w:color w:val="000000" w:themeColor="text1"/>
                <w:kern w:val="24"/>
                <w:szCs w:val="20"/>
              </w:rPr>
              <w:t>15.36 [</w:t>
            </w:r>
            <w:r w:rsidRPr="00010DA6">
              <w:rPr>
                <w:rFonts w:cstheme="minorHAnsi"/>
                <w:color w:val="000000" w:themeColor="text1"/>
                <w:kern w:val="24"/>
                <w:szCs w:val="20"/>
              </w:rPr>
              <w:t>0.0040</w:t>
            </w:r>
            <w:r w:rsidRPr="00074369">
              <w:rPr>
                <w:rFonts w:cstheme="minorHAnsi"/>
                <w:color w:val="000000" w:themeColor="text1"/>
                <w:kern w:val="24"/>
                <w:szCs w:val="20"/>
              </w:rPr>
              <w:t>]</w:t>
            </w:r>
          </w:p>
        </w:tc>
        <w:tc>
          <w:tcPr>
            <w:tcW w:w="797" w:type="dxa"/>
            <w:vAlign w:val="center"/>
          </w:tcPr>
          <w:p w14:paraId="287D6134"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ED019F">
              <w:rPr>
                <w:rFonts w:cstheme="minorHAnsi"/>
                <w:color w:val="000000" w:themeColor="text1"/>
                <w:kern w:val="24"/>
                <w:szCs w:val="20"/>
              </w:rPr>
              <w:t>14.52</w:t>
            </w:r>
          </w:p>
        </w:tc>
        <w:tc>
          <w:tcPr>
            <w:tcW w:w="1000" w:type="dxa"/>
            <w:vAlign w:val="center"/>
          </w:tcPr>
          <w:p w14:paraId="6D06DD3B"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ED019F">
              <w:rPr>
                <w:rFonts w:cstheme="minorHAnsi"/>
                <w:color w:val="000000" w:themeColor="text1"/>
                <w:kern w:val="24"/>
                <w:szCs w:val="20"/>
              </w:rPr>
              <w:t>0.0058</w:t>
            </w:r>
            <w:r>
              <w:rPr>
                <w:rFonts w:cstheme="minorHAnsi"/>
                <w:color w:val="000000" w:themeColor="text1"/>
                <w:kern w:val="24"/>
                <w:szCs w:val="20"/>
              </w:rPr>
              <w:t>]</w:t>
            </w:r>
          </w:p>
        </w:tc>
        <w:tc>
          <w:tcPr>
            <w:tcW w:w="797" w:type="dxa"/>
            <w:vAlign w:val="center"/>
          </w:tcPr>
          <w:p w14:paraId="3B621C5E"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845BBA">
              <w:rPr>
                <w:rFonts w:cstheme="minorHAnsi"/>
                <w:color w:val="000000" w:themeColor="text1"/>
                <w:kern w:val="24"/>
                <w:szCs w:val="20"/>
              </w:rPr>
              <w:t>5.53</w:t>
            </w:r>
          </w:p>
        </w:tc>
        <w:tc>
          <w:tcPr>
            <w:tcW w:w="803" w:type="dxa"/>
            <w:gridSpan w:val="2"/>
            <w:vAlign w:val="center"/>
          </w:tcPr>
          <w:p w14:paraId="3DE70669"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845BBA">
              <w:rPr>
                <w:rFonts w:cstheme="minorHAnsi"/>
                <w:color w:val="000000" w:themeColor="text1"/>
                <w:kern w:val="24"/>
                <w:szCs w:val="20"/>
              </w:rPr>
              <w:t>0.2</w:t>
            </w:r>
            <w:r>
              <w:rPr>
                <w:rFonts w:cstheme="minorHAnsi"/>
                <w:color w:val="000000" w:themeColor="text1"/>
                <w:kern w:val="24"/>
                <w:szCs w:val="20"/>
              </w:rPr>
              <w:t>4]</w:t>
            </w:r>
          </w:p>
        </w:tc>
      </w:tr>
      <w:tr w:rsidR="00175CF9" w:rsidRPr="00074369" w14:paraId="5166024E" w14:textId="77777777" w:rsidTr="000B1026">
        <w:trPr>
          <w:trHeight w:val="57"/>
        </w:trPr>
        <w:tc>
          <w:tcPr>
            <w:tcW w:w="1701" w:type="dxa"/>
          </w:tcPr>
          <w:p w14:paraId="537F2F02" w14:textId="77777777" w:rsidR="00175CF9" w:rsidRPr="00074369" w:rsidRDefault="00175CF9" w:rsidP="000B1026">
            <w:pPr>
              <w:spacing w:after="0" w:line="240" w:lineRule="auto"/>
              <w:jc w:val="left"/>
              <w:rPr>
                <w:rFonts w:cstheme="minorHAnsi"/>
                <w:szCs w:val="20"/>
              </w:rPr>
            </w:pPr>
          </w:p>
        </w:tc>
        <w:tc>
          <w:tcPr>
            <w:tcW w:w="1797" w:type="dxa"/>
            <w:gridSpan w:val="2"/>
          </w:tcPr>
          <w:p w14:paraId="513B352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vAlign w:val="center"/>
          </w:tcPr>
          <w:p w14:paraId="6772A8FA"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vAlign w:val="center"/>
          </w:tcPr>
          <w:p w14:paraId="34C9652C"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vAlign w:val="center"/>
          </w:tcPr>
          <w:p w14:paraId="2D3B2778"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31D50706" w14:textId="77777777" w:rsidTr="000B1026">
        <w:trPr>
          <w:trHeight w:val="57"/>
        </w:trPr>
        <w:tc>
          <w:tcPr>
            <w:tcW w:w="1701" w:type="dxa"/>
            <w:tcBorders>
              <w:bottom w:val="single" w:sz="12" w:space="0" w:color="auto"/>
            </w:tcBorders>
          </w:tcPr>
          <w:p w14:paraId="517350C3"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12" w:space="0" w:color="auto"/>
            </w:tcBorders>
          </w:tcPr>
          <w:p w14:paraId="4FEE2E4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tcBorders>
              <w:bottom w:val="single" w:sz="12" w:space="0" w:color="auto"/>
            </w:tcBorders>
            <w:vAlign w:val="center"/>
          </w:tcPr>
          <w:p w14:paraId="7F72CAD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tcBorders>
              <w:bottom w:val="single" w:sz="12" w:space="0" w:color="auto"/>
            </w:tcBorders>
            <w:vAlign w:val="center"/>
          </w:tcPr>
          <w:p w14:paraId="71DC5A8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tcBorders>
              <w:bottom w:val="single" w:sz="12" w:space="0" w:color="auto"/>
            </w:tcBorders>
            <w:vAlign w:val="center"/>
          </w:tcPr>
          <w:p w14:paraId="2D8A686E"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60B6524F" w14:textId="77777777" w:rsidTr="000B1026">
        <w:trPr>
          <w:gridAfter w:val="1"/>
          <w:wAfter w:w="6" w:type="dxa"/>
          <w:trHeight w:val="57"/>
        </w:trPr>
        <w:tc>
          <w:tcPr>
            <w:tcW w:w="8484" w:type="dxa"/>
            <w:gridSpan w:val="10"/>
            <w:tcBorders>
              <w:top w:val="single" w:sz="12" w:space="0" w:color="auto"/>
            </w:tcBorders>
            <w:hideMark/>
          </w:tcPr>
          <w:p w14:paraId="547B3A75" w14:textId="77777777" w:rsidR="00175CF9" w:rsidRDefault="00175CF9" w:rsidP="000B1026">
            <w:pPr>
              <w:spacing w:after="0" w:line="240" w:lineRule="auto"/>
              <w:jc w:val="left"/>
              <w:rPr>
                <w:color w:val="000000" w:themeColor="text1"/>
                <w:kern w:val="24"/>
              </w:rPr>
            </w:pPr>
            <w:r w:rsidRPr="00074369">
              <w:rPr>
                <w:rFonts w:cstheme="minorHAnsi"/>
                <w:color w:val="000000" w:themeColor="text1"/>
                <w:kern w:val="24"/>
                <w:szCs w:val="20"/>
              </w:rPr>
              <w:t>Notas</w:t>
            </w:r>
            <w:r w:rsidRPr="00074369">
              <w:rPr>
                <w:color w:val="000000" w:themeColor="text1"/>
                <w:kern w:val="24"/>
              </w:rPr>
              <w:t>:</w:t>
            </w:r>
          </w:p>
          <w:p w14:paraId="167E8D12" w14:textId="77777777" w:rsidR="00175CF9" w:rsidRPr="00074369" w:rsidRDefault="00175CF9" w:rsidP="000B1026">
            <w:pPr>
              <w:spacing w:after="0" w:line="240" w:lineRule="auto"/>
              <w:jc w:val="left"/>
            </w:pPr>
            <w:r>
              <w:rPr>
                <w:color w:val="000000" w:themeColor="text1"/>
                <w:kern w:val="24"/>
              </w:rPr>
              <w:t>Valores de estadísticos-t entre paréntesis y valores-p de pruebas estadísticas en corchetes.</w:t>
            </w:r>
          </w:p>
          <w:p w14:paraId="0FF6BAF7" w14:textId="77777777" w:rsidR="00175CF9" w:rsidRPr="00074369" w:rsidRDefault="00175CF9" w:rsidP="000B1026">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076F5DE4" w14:textId="77777777" w:rsidR="00175CF9" w:rsidRPr="00074369" w:rsidRDefault="00175CF9" w:rsidP="000B1026">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5671A43B" w14:textId="77777777" w:rsidR="00175CF9" w:rsidRPr="00074369" w:rsidRDefault="00175CF9" w:rsidP="00AF15D1">
            <w:pPr>
              <w:tabs>
                <w:tab w:val="left" w:pos="2191"/>
              </w:tabs>
              <w:spacing w:after="360" w:line="240" w:lineRule="auto"/>
              <w:ind w:left="34"/>
              <w:jc w:val="left"/>
            </w:pPr>
            <w:r w:rsidRPr="00074369">
              <w:rPr>
                <w:rFonts w:cstheme="minorHAnsi"/>
                <w:color w:val="000000" w:themeColor="text1"/>
                <w:kern w:val="24"/>
                <w:szCs w:val="20"/>
              </w:rPr>
              <w:t xml:space="preserve">Los errores estándares se computan con </w:t>
            </w:r>
            <w:proofErr w:type="spellStart"/>
            <w:r w:rsidRPr="00074369">
              <w:rPr>
                <w:rFonts w:cstheme="minorHAnsi"/>
                <w:color w:val="000000" w:themeColor="text1"/>
                <w:kern w:val="24"/>
                <w:szCs w:val="20"/>
              </w:rPr>
              <w:t>clusterizando</w:t>
            </w:r>
            <w:proofErr w:type="spellEnd"/>
            <w:r w:rsidRPr="00074369">
              <w:rPr>
                <w:rFonts w:cstheme="minorHAnsi"/>
                <w:color w:val="000000" w:themeColor="text1"/>
                <w:kern w:val="24"/>
                <w:szCs w:val="20"/>
              </w:rPr>
              <w:t xml:space="preserve"> a nivel estación para tener en cuenta correlación serial en los datos </w:t>
            </w:r>
          </w:p>
        </w:tc>
      </w:tr>
    </w:tbl>
    <w:p w14:paraId="0BB45F66" w14:textId="7A50D97B" w:rsidR="00825C55" w:rsidRDefault="00BC7284" w:rsidP="00D32E14">
      <w:r>
        <w:t>E</w:t>
      </w:r>
      <w:r w:rsidR="004D1ACB">
        <w:t>l coeficiente asociado a la ponderación espacial de los precios (W*Precios) es significativo</w:t>
      </w:r>
      <w:r>
        <w:t xml:space="preserve"> en todos los casos,</w:t>
      </w:r>
      <w:r w:rsidR="004D1ACB">
        <w:t xml:space="preserve"> sugiriendo que las estaciones toman en cuenta el precio de las estaciones cercanas </w:t>
      </w:r>
      <w:r w:rsidR="004D1ACB">
        <w:lastRenderedPageBreak/>
        <w:t>para fijar su precio.</w:t>
      </w:r>
      <w:r w:rsidR="00CF37B8">
        <w:t xml:space="preserve"> En la estimación considerando 18 meses</w:t>
      </w:r>
      <w:r w:rsidR="00227ACB">
        <w:t xml:space="preserve"> para diésel y </w:t>
      </w:r>
      <w:proofErr w:type="spellStart"/>
      <w:r w:rsidR="00227ACB">
        <w:t>gasohol</w:t>
      </w:r>
      <w:proofErr w:type="spellEnd"/>
      <w:r w:rsidR="00227ACB">
        <w:t xml:space="preserve"> 90</w:t>
      </w:r>
      <w:r w:rsidR="00CF37B8">
        <w:t xml:space="preserve">, la </w:t>
      </w:r>
      <w:r w:rsidR="00227ACB">
        <w:t>variable asociada</w:t>
      </w:r>
      <w:r w:rsidR="00CF37B8">
        <w:t xml:space="preserve"> a la</w:t>
      </w:r>
      <w:r w:rsidR="00227ACB">
        <w:t xml:space="preserve"> compra de estaciones (PRIMAX) es significativa</w:t>
      </w:r>
      <w:r w:rsidR="008156AD">
        <w:t xml:space="preserve">. Sin embargo, mientras que el modelo lineal simple, </w:t>
      </w:r>
      <w:r>
        <w:t>el coeficiente que acompaña al parámetro PRIMAX representa el incremento de precios en una estación adquirida controlando por la heterogeneidad no observada y el tiempo, en el modelo de Durbin la interpretaci</w:t>
      </w:r>
      <w:r w:rsidR="003C60AF">
        <w:t xml:space="preserve">ón ya no es directa debido a los efectos de retroalimentación descritos en el </w:t>
      </w:r>
      <w:r w:rsidR="003C60AF">
        <w:fldChar w:fldCharType="begin"/>
      </w:r>
      <w:r w:rsidR="003C60AF">
        <w:instrText xml:space="preserve"> REF _Ref10055173 \r \h </w:instrText>
      </w:r>
      <w:r w:rsidR="003C60AF">
        <w:fldChar w:fldCharType="separate"/>
      </w:r>
      <w:r w:rsidR="004C0429">
        <w:t>Capítulo II.2.1</w:t>
      </w:r>
      <w:r w:rsidR="003C60AF">
        <w:fldChar w:fldCharType="end"/>
      </w:r>
      <w:r w:rsidR="003C60AF">
        <w:t>.</w:t>
      </w:r>
      <w:r w:rsidR="00260457">
        <w:t xml:space="preserve"> Los efectos directos, indirectos y totales para el modelo espacial de Durbin con efectos fijos se presentan en la tabla </w:t>
      </w:r>
      <w:r w:rsidR="00260457">
        <w:fldChar w:fldCharType="begin"/>
      </w:r>
      <w:r w:rsidR="00260457">
        <w:instrText xml:space="preserve"> REF _Ref10055264 </w:instrText>
      </w:r>
      <w:r w:rsidR="00260457" w:rsidRPr="00260457">
        <w:instrText>\# 0</w:instrText>
      </w:r>
      <w:r w:rsidR="00260457">
        <w:instrText xml:space="preserve"> \h </w:instrText>
      </w:r>
      <w:r w:rsidR="00260457">
        <w:fldChar w:fldCharType="separate"/>
      </w:r>
      <w:r w:rsidR="004C0429">
        <w:t>5</w:t>
      </w:r>
      <w:r w:rsidR="00260457">
        <w:fldChar w:fldCharType="end"/>
      </w:r>
      <w:r w:rsidR="00260457">
        <w:t>.</w:t>
      </w:r>
    </w:p>
    <w:p w14:paraId="4A8DD35A" w14:textId="52E86446" w:rsidR="002B7B52" w:rsidRDefault="002B7B52" w:rsidP="002B7B52">
      <w:pPr>
        <w:pStyle w:val="Descripcin"/>
      </w:pPr>
      <w:bookmarkStart w:id="180" w:name="_Ref10055264"/>
      <w:r>
        <w:t xml:space="preserve">Tabla </w:t>
      </w:r>
      <w:r>
        <w:fldChar w:fldCharType="begin"/>
      </w:r>
      <w:r>
        <w:instrText xml:space="preserve"> SEQ Tabla \* ARABIC </w:instrText>
      </w:r>
      <w:r>
        <w:fldChar w:fldCharType="separate"/>
      </w:r>
      <w:r w:rsidR="004C0429">
        <w:rPr>
          <w:noProof/>
        </w:rPr>
        <w:t>5</w:t>
      </w:r>
      <w:r>
        <w:fldChar w:fldCharType="end"/>
      </w:r>
      <w:bookmarkEnd w:id="180"/>
      <w:r>
        <w:t>: Efectos directos e indirectos basados en los coeficientes</w:t>
      </w:r>
      <w:r w:rsidR="00A8659A">
        <w:t xml:space="preserve"> estimado del modelo de Durbin</w:t>
      </w:r>
    </w:p>
    <w:tbl>
      <w:tblPr>
        <w:tblW w:w="9200" w:type="dxa"/>
        <w:tblLook w:val="04A0" w:firstRow="1" w:lastRow="0" w:firstColumn="1" w:lastColumn="0" w:noHBand="0" w:noVBand="1"/>
      </w:tblPr>
      <w:tblGrid>
        <w:gridCol w:w="1305"/>
        <w:gridCol w:w="972"/>
        <w:gridCol w:w="1066"/>
        <w:gridCol w:w="834"/>
        <w:gridCol w:w="833"/>
        <w:gridCol w:w="866"/>
        <w:gridCol w:w="833"/>
        <w:gridCol w:w="866"/>
        <w:gridCol w:w="775"/>
        <w:gridCol w:w="866"/>
      </w:tblGrid>
      <w:tr w:rsidR="00B12FEF" w:rsidRPr="00E2069D" w14:paraId="2994547F" w14:textId="77777777" w:rsidTr="007A6A17">
        <w:trPr>
          <w:trHeight w:val="75"/>
        </w:trPr>
        <w:tc>
          <w:tcPr>
            <w:tcW w:w="1305" w:type="dxa"/>
            <w:tcBorders>
              <w:top w:val="single" w:sz="8" w:space="0" w:color="auto"/>
              <w:left w:val="nil"/>
              <w:right w:val="nil"/>
            </w:tcBorders>
            <w:shd w:val="clear" w:color="auto" w:fill="auto"/>
            <w:noWrap/>
            <w:vAlign w:val="bottom"/>
          </w:tcPr>
          <w:p w14:paraId="39223CEF"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972" w:type="dxa"/>
            <w:tcBorders>
              <w:top w:val="single" w:sz="8" w:space="0" w:color="auto"/>
              <w:left w:val="nil"/>
              <w:right w:val="nil"/>
            </w:tcBorders>
            <w:shd w:val="clear" w:color="auto" w:fill="auto"/>
            <w:noWrap/>
            <w:vAlign w:val="bottom"/>
          </w:tcPr>
          <w:p w14:paraId="718876F6"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3583" w:type="dxa"/>
            <w:gridSpan w:val="4"/>
            <w:tcBorders>
              <w:top w:val="single" w:sz="8" w:space="0" w:color="auto"/>
              <w:left w:val="nil"/>
              <w:right w:val="nil"/>
            </w:tcBorders>
            <w:shd w:val="clear" w:color="auto" w:fill="auto"/>
            <w:noWrap/>
          </w:tcPr>
          <w:p w14:paraId="4D84E210" w14:textId="31947834"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Diésel (soles/galón)</w:t>
            </w:r>
          </w:p>
        </w:tc>
        <w:tc>
          <w:tcPr>
            <w:tcW w:w="3340" w:type="dxa"/>
            <w:gridSpan w:val="4"/>
            <w:tcBorders>
              <w:top w:val="single" w:sz="8" w:space="0" w:color="auto"/>
              <w:left w:val="nil"/>
              <w:right w:val="nil"/>
            </w:tcBorders>
            <w:shd w:val="clear" w:color="auto" w:fill="auto"/>
            <w:noWrap/>
          </w:tcPr>
          <w:p w14:paraId="49CBC6BE" w14:textId="2DD07D8E"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proofErr w:type="spellStart"/>
            <w:r w:rsidRPr="00074369">
              <w:rPr>
                <w:rFonts w:cstheme="minorHAnsi"/>
                <w:color w:val="000000" w:themeColor="text1"/>
                <w:kern w:val="24"/>
                <w:szCs w:val="20"/>
              </w:rPr>
              <w:t>Gasohol</w:t>
            </w:r>
            <w:proofErr w:type="spellEnd"/>
            <w:r w:rsidRPr="00074369">
              <w:rPr>
                <w:rFonts w:cstheme="minorHAnsi"/>
                <w:color w:val="000000" w:themeColor="text1"/>
                <w:kern w:val="24"/>
                <w:szCs w:val="20"/>
              </w:rPr>
              <w:t xml:space="preserve"> 90 (soles/galón)</w:t>
            </w:r>
          </w:p>
        </w:tc>
      </w:tr>
      <w:tr w:rsidR="00B12FEF" w:rsidRPr="00E2069D" w14:paraId="05EC256B" w14:textId="77777777" w:rsidTr="007A6A17">
        <w:trPr>
          <w:trHeight w:val="199"/>
        </w:trPr>
        <w:tc>
          <w:tcPr>
            <w:tcW w:w="1305" w:type="dxa"/>
            <w:tcBorders>
              <w:left w:val="nil"/>
              <w:bottom w:val="single" w:sz="4" w:space="0" w:color="auto"/>
              <w:right w:val="nil"/>
            </w:tcBorders>
            <w:shd w:val="clear" w:color="auto" w:fill="auto"/>
            <w:noWrap/>
            <w:vAlign w:val="bottom"/>
            <w:hideMark/>
          </w:tcPr>
          <w:p w14:paraId="3E7886E0"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left w:val="nil"/>
              <w:bottom w:val="single" w:sz="4" w:space="0" w:color="auto"/>
              <w:right w:val="nil"/>
            </w:tcBorders>
            <w:shd w:val="clear" w:color="auto" w:fill="auto"/>
            <w:noWrap/>
            <w:vAlign w:val="bottom"/>
            <w:hideMark/>
          </w:tcPr>
          <w:p w14:paraId="30DB159E"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1884" w:type="dxa"/>
            <w:gridSpan w:val="2"/>
            <w:tcBorders>
              <w:left w:val="nil"/>
              <w:bottom w:val="single" w:sz="4" w:space="0" w:color="auto"/>
              <w:right w:val="nil"/>
            </w:tcBorders>
            <w:shd w:val="clear" w:color="auto" w:fill="auto"/>
            <w:noWrap/>
            <w:hideMark/>
          </w:tcPr>
          <w:p w14:paraId="5FD92ADC" w14:textId="5A6F1623"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99" w:type="dxa"/>
            <w:gridSpan w:val="2"/>
            <w:tcBorders>
              <w:left w:val="nil"/>
              <w:bottom w:val="single" w:sz="4" w:space="0" w:color="auto"/>
              <w:right w:val="nil"/>
            </w:tcBorders>
            <w:shd w:val="clear" w:color="auto" w:fill="auto"/>
            <w:noWrap/>
            <w:hideMark/>
          </w:tcPr>
          <w:p w14:paraId="294E194F" w14:textId="1186D70F"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c>
          <w:tcPr>
            <w:tcW w:w="1699" w:type="dxa"/>
            <w:gridSpan w:val="2"/>
            <w:tcBorders>
              <w:left w:val="nil"/>
              <w:bottom w:val="single" w:sz="4" w:space="0" w:color="auto"/>
              <w:right w:val="nil"/>
            </w:tcBorders>
            <w:shd w:val="clear" w:color="auto" w:fill="auto"/>
            <w:noWrap/>
            <w:hideMark/>
          </w:tcPr>
          <w:p w14:paraId="342DA7F1" w14:textId="61887EBB"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41" w:type="dxa"/>
            <w:gridSpan w:val="2"/>
            <w:tcBorders>
              <w:left w:val="nil"/>
              <w:bottom w:val="single" w:sz="4" w:space="0" w:color="auto"/>
              <w:right w:val="nil"/>
            </w:tcBorders>
            <w:shd w:val="clear" w:color="auto" w:fill="auto"/>
            <w:noWrap/>
            <w:hideMark/>
          </w:tcPr>
          <w:p w14:paraId="5690A3E3" w14:textId="692B421C"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r>
      <w:tr w:rsidR="007A6A17" w:rsidRPr="00E2069D" w14:paraId="012ADCD7"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4F642734"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PRIMAX</w:t>
            </w:r>
          </w:p>
        </w:tc>
        <w:tc>
          <w:tcPr>
            <w:tcW w:w="972" w:type="dxa"/>
            <w:tcBorders>
              <w:top w:val="nil"/>
              <w:left w:val="nil"/>
              <w:bottom w:val="nil"/>
              <w:right w:val="nil"/>
            </w:tcBorders>
            <w:shd w:val="clear" w:color="auto" w:fill="EEECE1" w:themeFill="background2"/>
            <w:noWrap/>
            <w:vAlign w:val="bottom"/>
            <w:hideMark/>
          </w:tcPr>
          <w:p w14:paraId="5040CB9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Directo</w:t>
            </w:r>
            <w:proofErr w:type="spellEnd"/>
          </w:p>
        </w:tc>
        <w:tc>
          <w:tcPr>
            <w:tcW w:w="1050" w:type="dxa"/>
            <w:tcBorders>
              <w:top w:val="nil"/>
              <w:left w:val="nil"/>
              <w:bottom w:val="nil"/>
              <w:right w:val="nil"/>
            </w:tcBorders>
            <w:shd w:val="clear" w:color="auto" w:fill="EEECE1" w:themeFill="background2"/>
            <w:noWrap/>
            <w:tcMar>
              <w:left w:w="0" w:type="dxa"/>
              <w:right w:w="0" w:type="dxa"/>
            </w:tcMar>
            <w:vAlign w:val="bottom"/>
            <w:hideMark/>
          </w:tcPr>
          <w:p w14:paraId="60CFF1B7" w14:textId="30CC6D2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0.091</w:t>
            </w:r>
          </w:p>
        </w:tc>
        <w:tc>
          <w:tcPr>
            <w:tcW w:w="834" w:type="dxa"/>
            <w:tcBorders>
              <w:top w:val="nil"/>
              <w:left w:val="nil"/>
              <w:bottom w:val="nil"/>
              <w:right w:val="nil"/>
            </w:tcBorders>
            <w:shd w:val="clear" w:color="auto" w:fill="EEECE1" w:themeFill="background2"/>
            <w:noWrap/>
            <w:vAlign w:val="bottom"/>
            <w:hideMark/>
          </w:tcPr>
          <w:p w14:paraId="2478F5B7" w14:textId="4E206E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(4.09)</w:t>
            </w:r>
          </w:p>
        </w:tc>
        <w:tc>
          <w:tcPr>
            <w:tcW w:w="833" w:type="dxa"/>
            <w:tcBorders>
              <w:top w:val="nil"/>
              <w:left w:val="nil"/>
              <w:bottom w:val="nil"/>
              <w:right w:val="nil"/>
            </w:tcBorders>
            <w:shd w:val="clear" w:color="auto" w:fill="EEECE1" w:themeFill="background2"/>
            <w:noWrap/>
            <w:vAlign w:val="bottom"/>
            <w:hideMark/>
          </w:tcPr>
          <w:p w14:paraId="4F77271A" w14:textId="1962336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-0.001</w:t>
            </w:r>
          </w:p>
        </w:tc>
        <w:tc>
          <w:tcPr>
            <w:tcW w:w="866" w:type="dxa"/>
            <w:tcBorders>
              <w:top w:val="nil"/>
              <w:left w:val="nil"/>
              <w:bottom w:val="nil"/>
              <w:right w:val="nil"/>
            </w:tcBorders>
            <w:shd w:val="clear" w:color="auto" w:fill="EEECE1" w:themeFill="background2"/>
            <w:noWrap/>
            <w:vAlign w:val="bottom"/>
            <w:hideMark/>
          </w:tcPr>
          <w:p w14:paraId="2923DE13" w14:textId="2F56AB7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(-0.05)</w:t>
            </w:r>
          </w:p>
        </w:tc>
        <w:tc>
          <w:tcPr>
            <w:tcW w:w="833" w:type="dxa"/>
            <w:tcBorders>
              <w:top w:val="nil"/>
              <w:left w:val="nil"/>
              <w:bottom w:val="nil"/>
              <w:right w:val="nil"/>
            </w:tcBorders>
            <w:shd w:val="clear" w:color="auto" w:fill="EEECE1" w:themeFill="background2"/>
            <w:noWrap/>
            <w:vAlign w:val="bottom"/>
            <w:hideMark/>
          </w:tcPr>
          <w:p w14:paraId="600B3945" w14:textId="4C867ED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0.077</w:t>
            </w:r>
          </w:p>
        </w:tc>
        <w:tc>
          <w:tcPr>
            <w:tcW w:w="866" w:type="dxa"/>
            <w:tcBorders>
              <w:top w:val="nil"/>
              <w:left w:val="nil"/>
              <w:bottom w:val="nil"/>
              <w:right w:val="nil"/>
            </w:tcBorders>
            <w:shd w:val="clear" w:color="auto" w:fill="EEECE1" w:themeFill="background2"/>
            <w:noWrap/>
            <w:vAlign w:val="bottom"/>
            <w:hideMark/>
          </w:tcPr>
          <w:p w14:paraId="29A0F904" w14:textId="74BF3B8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(2.68)</w:t>
            </w:r>
          </w:p>
        </w:tc>
        <w:tc>
          <w:tcPr>
            <w:tcW w:w="775" w:type="dxa"/>
            <w:tcBorders>
              <w:top w:val="nil"/>
              <w:left w:val="nil"/>
              <w:bottom w:val="nil"/>
              <w:right w:val="nil"/>
            </w:tcBorders>
            <w:shd w:val="clear" w:color="auto" w:fill="EEECE1" w:themeFill="background2"/>
            <w:noWrap/>
            <w:vAlign w:val="bottom"/>
            <w:hideMark/>
          </w:tcPr>
          <w:p w14:paraId="1F7DC5FA" w14:textId="5EA0E95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0.084</w:t>
            </w:r>
          </w:p>
        </w:tc>
        <w:tc>
          <w:tcPr>
            <w:tcW w:w="866" w:type="dxa"/>
            <w:tcBorders>
              <w:top w:val="nil"/>
              <w:left w:val="nil"/>
              <w:bottom w:val="nil"/>
              <w:right w:val="nil"/>
            </w:tcBorders>
            <w:shd w:val="clear" w:color="auto" w:fill="EEECE1" w:themeFill="background2"/>
            <w:noWrap/>
            <w:vAlign w:val="bottom"/>
            <w:hideMark/>
          </w:tcPr>
          <w:p w14:paraId="3720D226" w14:textId="637DF7D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r>
      <w:tr w:rsidR="007A6A17" w:rsidRPr="00E2069D" w14:paraId="58855898"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6466E0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9B3D1E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Indirecto</w:t>
            </w:r>
            <w:proofErr w:type="spellEnd"/>
          </w:p>
        </w:tc>
        <w:tc>
          <w:tcPr>
            <w:tcW w:w="1050" w:type="dxa"/>
            <w:tcBorders>
              <w:top w:val="nil"/>
              <w:left w:val="nil"/>
              <w:bottom w:val="nil"/>
              <w:right w:val="nil"/>
            </w:tcBorders>
            <w:shd w:val="clear" w:color="auto" w:fill="EEECE1" w:themeFill="background2"/>
            <w:noWrap/>
            <w:vAlign w:val="bottom"/>
            <w:hideMark/>
          </w:tcPr>
          <w:p w14:paraId="62896EC0" w14:textId="64BE4EE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-0.131</w:t>
            </w:r>
          </w:p>
        </w:tc>
        <w:tc>
          <w:tcPr>
            <w:tcW w:w="834" w:type="dxa"/>
            <w:tcBorders>
              <w:top w:val="nil"/>
              <w:left w:val="nil"/>
              <w:bottom w:val="nil"/>
              <w:right w:val="nil"/>
            </w:tcBorders>
            <w:shd w:val="clear" w:color="auto" w:fill="EEECE1" w:themeFill="background2"/>
            <w:noWrap/>
            <w:vAlign w:val="bottom"/>
            <w:hideMark/>
          </w:tcPr>
          <w:p w14:paraId="4D6AAD0B" w14:textId="0225138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(-1.91)</w:t>
            </w:r>
          </w:p>
        </w:tc>
        <w:tc>
          <w:tcPr>
            <w:tcW w:w="833" w:type="dxa"/>
            <w:tcBorders>
              <w:top w:val="nil"/>
              <w:left w:val="nil"/>
              <w:bottom w:val="nil"/>
              <w:right w:val="nil"/>
            </w:tcBorders>
            <w:shd w:val="clear" w:color="auto" w:fill="EEECE1" w:themeFill="background2"/>
            <w:noWrap/>
            <w:vAlign w:val="bottom"/>
            <w:hideMark/>
          </w:tcPr>
          <w:p w14:paraId="107D4B0D" w14:textId="67624E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-0.048</w:t>
            </w:r>
          </w:p>
        </w:tc>
        <w:tc>
          <w:tcPr>
            <w:tcW w:w="866" w:type="dxa"/>
            <w:tcBorders>
              <w:top w:val="nil"/>
              <w:left w:val="nil"/>
              <w:bottom w:val="nil"/>
              <w:right w:val="nil"/>
            </w:tcBorders>
            <w:shd w:val="clear" w:color="auto" w:fill="EEECE1" w:themeFill="background2"/>
            <w:noWrap/>
            <w:vAlign w:val="bottom"/>
            <w:hideMark/>
          </w:tcPr>
          <w:p w14:paraId="31B4F336" w14:textId="2862C2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(-0.80)</w:t>
            </w:r>
          </w:p>
        </w:tc>
        <w:tc>
          <w:tcPr>
            <w:tcW w:w="833" w:type="dxa"/>
            <w:tcBorders>
              <w:top w:val="nil"/>
              <w:left w:val="nil"/>
              <w:bottom w:val="nil"/>
              <w:right w:val="nil"/>
            </w:tcBorders>
            <w:shd w:val="clear" w:color="auto" w:fill="EEECE1" w:themeFill="background2"/>
            <w:noWrap/>
            <w:vAlign w:val="bottom"/>
            <w:hideMark/>
          </w:tcPr>
          <w:p w14:paraId="05E32F05" w14:textId="517159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0.036</w:t>
            </w:r>
          </w:p>
        </w:tc>
        <w:tc>
          <w:tcPr>
            <w:tcW w:w="866" w:type="dxa"/>
            <w:tcBorders>
              <w:top w:val="nil"/>
              <w:left w:val="nil"/>
              <w:bottom w:val="nil"/>
              <w:right w:val="nil"/>
            </w:tcBorders>
            <w:shd w:val="clear" w:color="auto" w:fill="EEECE1" w:themeFill="background2"/>
            <w:noWrap/>
            <w:vAlign w:val="bottom"/>
            <w:hideMark/>
          </w:tcPr>
          <w:p w14:paraId="778F8278" w14:textId="2DA9BC6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(0.32)</w:t>
            </w:r>
          </w:p>
        </w:tc>
        <w:tc>
          <w:tcPr>
            <w:tcW w:w="775" w:type="dxa"/>
            <w:tcBorders>
              <w:top w:val="nil"/>
              <w:left w:val="nil"/>
              <w:bottom w:val="nil"/>
              <w:right w:val="nil"/>
            </w:tcBorders>
            <w:shd w:val="clear" w:color="auto" w:fill="EEECE1" w:themeFill="background2"/>
            <w:noWrap/>
            <w:vAlign w:val="bottom"/>
            <w:hideMark/>
          </w:tcPr>
          <w:p w14:paraId="578D2383" w14:textId="77B898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-0.025</w:t>
            </w:r>
          </w:p>
        </w:tc>
        <w:tc>
          <w:tcPr>
            <w:tcW w:w="866" w:type="dxa"/>
            <w:tcBorders>
              <w:top w:val="nil"/>
              <w:left w:val="nil"/>
              <w:bottom w:val="nil"/>
              <w:right w:val="nil"/>
            </w:tcBorders>
            <w:shd w:val="clear" w:color="auto" w:fill="EEECE1" w:themeFill="background2"/>
            <w:noWrap/>
            <w:vAlign w:val="bottom"/>
            <w:hideMark/>
          </w:tcPr>
          <w:p w14:paraId="5C984469" w14:textId="187E5DB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(-0.28)</w:t>
            </w:r>
          </w:p>
        </w:tc>
      </w:tr>
      <w:tr w:rsidR="007A6A17" w:rsidRPr="00E2069D" w14:paraId="05B85A54"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0EA4A10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CC15869"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0069A511" w14:textId="787BE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-0.040</w:t>
            </w:r>
          </w:p>
        </w:tc>
        <w:tc>
          <w:tcPr>
            <w:tcW w:w="834" w:type="dxa"/>
            <w:tcBorders>
              <w:top w:val="nil"/>
              <w:left w:val="nil"/>
              <w:bottom w:val="nil"/>
              <w:right w:val="nil"/>
            </w:tcBorders>
            <w:shd w:val="clear" w:color="auto" w:fill="EEECE1" w:themeFill="background2"/>
            <w:noWrap/>
            <w:vAlign w:val="bottom"/>
            <w:hideMark/>
          </w:tcPr>
          <w:p w14:paraId="6FEE2662" w14:textId="44E58C9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(-0.53)</w:t>
            </w:r>
          </w:p>
        </w:tc>
        <w:tc>
          <w:tcPr>
            <w:tcW w:w="833" w:type="dxa"/>
            <w:tcBorders>
              <w:top w:val="nil"/>
              <w:left w:val="nil"/>
              <w:bottom w:val="nil"/>
              <w:right w:val="nil"/>
            </w:tcBorders>
            <w:shd w:val="clear" w:color="auto" w:fill="EEECE1" w:themeFill="background2"/>
            <w:noWrap/>
            <w:vAlign w:val="bottom"/>
            <w:hideMark/>
          </w:tcPr>
          <w:p w14:paraId="1E437A10" w14:textId="0EA4CD2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-0.049</w:t>
            </w:r>
          </w:p>
        </w:tc>
        <w:tc>
          <w:tcPr>
            <w:tcW w:w="866" w:type="dxa"/>
            <w:tcBorders>
              <w:top w:val="nil"/>
              <w:left w:val="nil"/>
              <w:bottom w:val="nil"/>
              <w:right w:val="nil"/>
            </w:tcBorders>
            <w:shd w:val="clear" w:color="auto" w:fill="EEECE1" w:themeFill="background2"/>
            <w:noWrap/>
            <w:vAlign w:val="bottom"/>
            <w:hideMark/>
          </w:tcPr>
          <w:p w14:paraId="1DAE6E70" w14:textId="5EE34B9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(-0.75)</w:t>
            </w:r>
          </w:p>
        </w:tc>
        <w:tc>
          <w:tcPr>
            <w:tcW w:w="833" w:type="dxa"/>
            <w:tcBorders>
              <w:top w:val="nil"/>
              <w:left w:val="nil"/>
              <w:bottom w:val="nil"/>
              <w:right w:val="nil"/>
            </w:tcBorders>
            <w:shd w:val="clear" w:color="auto" w:fill="EEECE1" w:themeFill="background2"/>
            <w:noWrap/>
            <w:vAlign w:val="bottom"/>
            <w:hideMark/>
          </w:tcPr>
          <w:p w14:paraId="47CF821F" w14:textId="69FAA93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0.113</w:t>
            </w:r>
          </w:p>
        </w:tc>
        <w:tc>
          <w:tcPr>
            <w:tcW w:w="866" w:type="dxa"/>
            <w:tcBorders>
              <w:top w:val="nil"/>
              <w:left w:val="nil"/>
              <w:bottom w:val="nil"/>
              <w:right w:val="nil"/>
            </w:tcBorders>
            <w:shd w:val="clear" w:color="auto" w:fill="EEECE1" w:themeFill="background2"/>
            <w:noWrap/>
            <w:vAlign w:val="bottom"/>
            <w:hideMark/>
          </w:tcPr>
          <w:p w14:paraId="7EBFCB61" w14:textId="5866F83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(0.90)</w:t>
            </w:r>
          </w:p>
        </w:tc>
        <w:tc>
          <w:tcPr>
            <w:tcW w:w="775" w:type="dxa"/>
            <w:tcBorders>
              <w:top w:val="nil"/>
              <w:left w:val="nil"/>
              <w:bottom w:val="nil"/>
              <w:right w:val="nil"/>
            </w:tcBorders>
            <w:shd w:val="clear" w:color="auto" w:fill="EEECE1" w:themeFill="background2"/>
            <w:noWrap/>
            <w:vAlign w:val="bottom"/>
            <w:hideMark/>
          </w:tcPr>
          <w:p w14:paraId="1EEA4C90" w14:textId="35754A4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0.058</w:t>
            </w:r>
          </w:p>
        </w:tc>
        <w:tc>
          <w:tcPr>
            <w:tcW w:w="866" w:type="dxa"/>
            <w:tcBorders>
              <w:top w:val="nil"/>
              <w:left w:val="nil"/>
              <w:bottom w:val="nil"/>
              <w:right w:val="nil"/>
            </w:tcBorders>
            <w:shd w:val="clear" w:color="auto" w:fill="EEECE1" w:themeFill="background2"/>
            <w:noWrap/>
            <w:vAlign w:val="bottom"/>
            <w:hideMark/>
          </w:tcPr>
          <w:p w14:paraId="1D8801C3" w14:textId="61FE604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(0.58)</w:t>
            </w:r>
          </w:p>
        </w:tc>
      </w:tr>
      <w:tr w:rsidR="007A6A17" w:rsidRPr="00E2069D" w14:paraId="5FD8A6BE" w14:textId="77777777" w:rsidTr="007A6A17">
        <w:trPr>
          <w:trHeight w:val="496"/>
        </w:trPr>
        <w:tc>
          <w:tcPr>
            <w:tcW w:w="1305" w:type="dxa"/>
            <w:tcBorders>
              <w:top w:val="nil"/>
              <w:left w:val="nil"/>
              <w:bottom w:val="nil"/>
              <w:right w:val="nil"/>
            </w:tcBorders>
            <w:shd w:val="clear" w:color="auto" w:fill="auto"/>
            <w:vAlign w:val="center"/>
            <w:hideMark/>
          </w:tcPr>
          <w:p w14:paraId="0C6DFCB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CONTRATO</w:t>
            </w:r>
          </w:p>
        </w:tc>
        <w:tc>
          <w:tcPr>
            <w:tcW w:w="972" w:type="dxa"/>
            <w:tcBorders>
              <w:top w:val="nil"/>
              <w:left w:val="nil"/>
              <w:bottom w:val="nil"/>
              <w:right w:val="nil"/>
            </w:tcBorders>
            <w:shd w:val="clear" w:color="auto" w:fill="auto"/>
            <w:noWrap/>
            <w:vAlign w:val="bottom"/>
            <w:hideMark/>
          </w:tcPr>
          <w:p w14:paraId="7285CFA6"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Directo</w:t>
            </w:r>
            <w:proofErr w:type="spellEnd"/>
          </w:p>
        </w:tc>
        <w:tc>
          <w:tcPr>
            <w:tcW w:w="1050" w:type="dxa"/>
            <w:tcBorders>
              <w:top w:val="nil"/>
              <w:left w:val="nil"/>
              <w:bottom w:val="nil"/>
              <w:right w:val="nil"/>
            </w:tcBorders>
            <w:shd w:val="clear" w:color="auto" w:fill="auto"/>
            <w:noWrap/>
            <w:vAlign w:val="bottom"/>
            <w:hideMark/>
          </w:tcPr>
          <w:p w14:paraId="127C1037" w14:textId="2F56194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34" w:type="dxa"/>
            <w:tcBorders>
              <w:top w:val="nil"/>
              <w:left w:val="nil"/>
              <w:bottom w:val="nil"/>
              <w:right w:val="nil"/>
            </w:tcBorders>
            <w:shd w:val="clear" w:color="auto" w:fill="auto"/>
            <w:noWrap/>
            <w:vAlign w:val="bottom"/>
            <w:hideMark/>
          </w:tcPr>
          <w:p w14:paraId="3C86B9AA" w14:textId="56A544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(1.02)</w:t>
            </w:r>
          </w:p>
        </w:tc>
        <w:tc>
          <w:tcPr>
            <w:tcW w:w="833" w:type="dxa"/>
            <w:tcBorders>
              <w:top w:val="nil"/>
              <w:left w:val="nil"/>
              <w:bottom w:val="nil"/>
              <w:right w:val="nil"/>
            </w:tcBorders>
            <w:shd w:val="clear" w:color="auto" w:fill="auto"/>
            <w:noWrap/>
            <w:vAlign w:val="bottom"/>
            <w:hideMark/>
          </w:tcPr>
          <w:p w14:paraId="178D84A1" w14:textId="019C55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0.003</w:t>
            </w:r>
          </w:p>
        </w:tc>
        <w:tc>
          <w:tcPr>
            <w:tcW w:w="866" w:type="dxa"/>
            <w:tcBorders>
              <w:top w:val="nil"/>
              <w:left w:val="nil"/>
              <w:bottom w:val="nil"/>
              <w:right w:val="nil"/>
            </w:tcBorders>
            <w:shd w:val="clear" w:color="auto" w:fill="auto"/>
            <w:noWrap/>
            <w:vAlign w:val="bottom"/>
            <w:hideMark/>
          </w:tcPr>
          <w:p w14:paraId="2B25CE1C" w14:textId="5CEE3B8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(0.15)</w:t>
            </w:r>
          </w:p>
        </w:tc>
        <w:tc>
          <w:tcPr>
            <w:tcW w:w="833" w:type="dxa"/>
            <w:tcBorders>
              <w:top w:val="nil"/>
              <w:left w:val="nil"/>
              <w:bottom w:val="nil"/>
              <w:right w:val="nil"/>
            </w:tcBorders>
            <w:shd w:val="clear" w:color="auto" w:fill="auto"/>
            <w:noWrap/>
            <w:vAlign w:val="bottom"/>
            <w:hideMark/>
          </w:tcPr>
          <w:p w14:paraId="6460D5CC" w14:textId="179E16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-0.063</w:t>
            </w:r>
          </w:p>
        </w:tc>
        <w:tc>
          <w:tcPr>
            <w:tcW w:w="866" w:type="dxa"/>
            <w:tcBorders>
              <w:top w:val="nil"/>
              <w:left w:val="nil"/>
              <w:bottom w:val="nil"/>
              <w:right w:val="nil"/>
            </w:tcBorders>
            <w:shd w:val="clear" w:color="auto" w:fill="auto"/>
            <w:noWrap/>
            <w:vAlign w:val="bottom"/>
            <w:hideMark/>
          </w:tcPr>
          <w:p w14:paraId="71F6D3D7" w14:textId="7A2FDA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(-2.78)</w:t>
            </w:r>
          </w:p>
        </w:tc>
        <w:tc>
          <w:tcPr>
            <w:tcW w:w="775" w:type="dxa"/>
            <w:tcBorders>
              <w:top w:val="nil"/>
              <w:left w:val="nil"/>
              <w:bottom w:val="nil"/>
              <w:right w:val="nil"/>
            </w:tcBorders>
            <w:shd w:val="clear" w:color="auto" w:fill="auto"/>
            <w:noWrap/>
            <w:vAlign w:val="bottom"/>
            <w:hideMark/>
          </w:tcPr>
          <w:p w14:paraId="2529CC0E" w14:textId="78FB65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-0.042</w:t>
            </w:r>
          </w:p>
        </w:tc>
        <w:tc>
          <w:tcPr>
            <w:tcW w:w="866" w:type="dxa"/>
            <w:tcBorders>
              <w:top w:val="nil"/>
              <w:left w:val="nil"/>
              <w:bottom w:val="nil"/>
              <w:right w:val="nil"/>
            </w:tcBorders>
            <w:shd w:val="clear" w:color="auto" w:fill="auto"/>
            <w:noWrap/>
            <w:vAlign w:val="bottom"/>
            <w:hideMark/>
          </w:tcPr>
          <w:p w14:paraId="4F85ECC2" w14:textId="5DC13CD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(-1.62)</w:t>
            </w:r>
          </w:p>
        </w:tc>
      </w:tr>
      <w:tr w:rsidR="007A6A17" w:rsidRPr="00E2069D" w14:paraId="17357E9A" w14:textId="77777777" w:rsidTr="007A6A17">
        <w:trPr>
          <w:trHeight w:val="496"/>
        </w:trPr>
        <w:tc>
          <w:tcPr>
            <w:tcW w:w="1305" w:type="dxa"/>
            <w:tcBorders>
              <w:top w:val="nil"/>
              <w:left w:val="nil"/>
              <w:bottom w:val="nil"/>
              <w:right w:val="nil"/>
            </w:tcBorders>
            <w:shd w:val="clear" w:color="auto" w:fill="auto"/>
            <w:noWrap/>
            <w:vAlign w:val="bottom"/>
            <w:hideMark/>
          </w:tcPr>
          <w:p w14:paraId="15819FD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28DCD1C5"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Indirecto</w:t>
            </w:r>
            <w:proofErr w:type="spellEnd"/>
          </w:p>
        </w:tc>
        <w:tc>
          <w:tcPr>
            <w:tcW w:w="1050" w:type="dxa"/>
            <w:tcBorders>
              <w:top w:val="nil"/>
              <w:left w:val="nil"/>
              <w:bottom w:val="nil"/>
              <w:right w:val="nil"/>
            </w:tcBorders>
            <w:shd w:val="clear" w:color="auto" w:fill="auto"/>
            <w:noWrap/>
            <w:vAlign w:val="bottom"/>
            <w:hideMark/>
          </w:tcPr>
          <w:p w14:paraId="3A6838ED" w14:textId="6ADA197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0.122</w:t>
            </w:r>
          </w:p>
        </w:tc>
        <w:tc>
          <w:tcPr>
            <w:tcW w:w="834" w:type="dxa"/>
            <w:tcBorders>
              <w:top w:val="nil"/>
              <w:left w:val="nil"/>
              <w:bottom w:val="nil"/>
              <w:right w:val="nil"/>
            </w:tcBorders>
            <w:shd w:val="clear" w:color="auto" w:fill="auto"/>
            <w:noWrap/>
            <w:vAlign w:val="bottom"/>
            <w:hideMark/>
          </w:tcPr>
          <w:p w14:paraId="4B5CA514" w14:textId="2FBD575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(2.87)</w:t>
            </w:r>
          </w:p>
        </w:tc>
        <w:tc>
          <w:tcPr>
            <w:tcW w:w="833" w:type="dxa"/>
            <w:tcBorders>
              <w:top w:val="nil"/>
              <w:left w:val="nil"/>
              <w:bottom w:val="nil"/>
              <w:right w:val="nil"/>
            </w:tcBorders>
            <w:shd w:val="clear" w:color="auto" w:fill="auto"/>
            <w:noWrap/>
            <w:vAlign w:val="bottom"/>
            <w:hideMark/>
          </w:tcPr>
          <w:p w14:paraId="3C35C6F5" w14:textId="399E8B1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0.116</w:t>
            </w:r>
          </w:p>
        </w:tc>
        <w:tc>
          <w:tcPr>
            <w:tcW w:w="866" w:type="dxa"/>
            <w:tcBorders>
              <w:top w:val="nil"/>
              <w:left w:val="nil"/>
              <w:bottom w:val="nil"/>
              <w:right w:val="nil"/>
            </w:tcBorders>
            <w:shd w:val="clear" w:color="auto" w:fill="auto"/>
            <w:noWrap/>
            <w:vAlign w:val="bottom"/>
            <w:hideMark/>
          </w:tcPr>
          <w:p w14:paraId="761E84E9" w14:textId="7DE0560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(2.50)</w:t>
            </w:r>
          </w:p>
        </w:tc>
        <w:tc>
          <w:tcPr>
            <w:tcW w:w="833" w:type="dxa"/>
            <w:tcBorders>
              <w:top w:val="nil"/>
              <w:left w:val="nil"/>
              <w:bottom w:val="nil"/>
              <w:right w:val="nil"/>
            </w:tcBorders>
            <w:shd w:val="clear" w:color="auto" w:fill="auto"/>
            <w:noWrap/>
            <w:vAlign w:val="bottom"/>
            <w:hideMark/>
          </w:tcPr>
          <w:p w14:paraId="0BDDCBAB" w14:textId="1C31C77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-0.069</w:t>
            </w:r>
          </w:p>
        </w:tc>
        <w:tc>
          <w:tcPr>
            <w:tcW w:w="866" w:type="dxa"/>
            <w:tcBorders>
              <w:top w:val="nil"/>
              <w:left w:val="nil"/>
              <w:bottom w:val="nil"/>
              <w:right w:val="nil"/>
            </w:tcBorders>
            <w:shd w:val="clear" w:color="auto" w:fill="auto"/>
            <w:noWrap/>
            <w:vAlign w:val="bottom"/>
            <w:hideMark/>
          </w:tcPr>
          <w:p w14:paraId="56DB1DAF" w14:textId="484A3DE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(-0.95)</w:t>
            </w:r>
          </w:p>
        </w:tc>
        <w:tc>
          <w:tcPr>
            <w:tcW w:w="775" w:type="dxa"/>
            <w:tcBorders>
              <w:top w:val="nil"/>
              <w:left w:val="nil"/>
              <w:bottom w:val="nil"/>
              <w:right w:val="nil"/>
            </w:tcBorders>
            <w:shd w:val="clear" w:color="auto" w:fill="auto"/>
            <w:noWrap/>
            <w:vAlign w:val="bottom"/>
            <w:hideMark/>
          </w:tcPr>
          <w:p w14:paraId="2F0EB61D" w14:textId="4FDC4A6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0.166</w:t>
            </w:r>
          </w:p>
        </w:tc>
        <w:tc>
          <w:tcPr>
            <w:tcW w:w="866" w:type="dxa"/>
            <w:tcBorders>
              <w:top w:val="nil"/>
              <w:left w:val="nil"/>
              <w:bottom w:val="nil"/>
              <w:right w:val="nil"/>
            </w:tcBorders>
            <w:shd w:val="clear" w:color="auto" w:fill="auto"/>
            <w:noWrap/>
            <w:vAlign w:val="bottom"/>
            <w:hideMark/>
          </w:tcPr>
          <w:p w14:paraId="626D53D2" w14:textId="33CE348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(2.38)</w:t>
            </w:r>
          </w:p>
        </w:tc>
      </w:tr>
      <w:tr w:rsidR="007A6A17" w:rsidRPr="00E2069D" w14:paraId="508AA0CD" w14:textId="77777777" w:rsidTr="007A6A17">
        <w:trPr>
          <w:trHeight w:val="496"/>
        </w:trPr>
        <w:tc>
          <w:tcPr>
            <w:tcW w:w="1305" w:type="dxa"/>
            <w:tcBorders>
              <w:top w:val="nil"/>
              <w:left w:val="nil"/>
              <w:bottom w:val="nil"/>
              <w:right w:val="nil"/>
            </w:tcBorders>
            <w:shd w:val="clear" w:color="auto" w:fill="auto"/>
            <w:noWrap/>
            <w:vAlign w:val="bottom"/>
            <w:hideMark/>
          </w:tcPr>
          <w:p w14:paraId="7A468F37"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FF136C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auto"/>
            <w:noWrap/>
            <w:vAlign w:val="bottom"/>
            <w:hideMark/>
          </w:tcPr>
          <w:p w14:paraId="63D04032" w14:textId="0D15670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0.141</w:t>
            </w:r>
          </w:p>
        </w:tc>
        <w:tc>
          <w:tcPr>
            <w:tcW w:w="834" w:type="dxa"/>
            <w:tcBorders>
              <w:top w:val="nil"/>
              <w:left w:val="nil"/>
              <w:bottom w:val="nil"/>
              <w:right w:val="nil"/>
            </w:tcBorders>
            <w:shd w:val="clear" w:color="auto" w:fill="auto"/>
            <w:noWrap/>
            <w:vAlign w:val="bottom"/>
            <w:hideMark/>
          </w:tcPr>
          <w:p w14:paraId="473BA364" w14:textId="593C1C8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c>
          <w:tcPr>
            <w:tcW w:w="833" w:type="dxa"/>
            <w:tcBorders>
              <w:top w:val="nil"/>
              <w:left w:val="nil"/>
              <w:bottom w:val="nil"/>
              <w:right w:val="nil"/>
            </w:tcBorders>
            <w:shd w:val="clear" w:color="auto" w:fill="auto"/>
            <w:noWrap/>
            <w:vAlign w:val="bottom"/>
            <w:hideMark/>
          </w:tcPr>
          <w:p w14:paraId="55F81C60" w14:textId="2BE294A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0.119</w:t>
            </w:r>
          </w:p>
        </w:tc>
        <w:tc>
          <w:tcPr>
            <w:tcW w:w="866" w:type="dxa"/>
            <w:tcBorders>
              <w:top w:val="nil"/>
              <w:left w:val="nil"/>
              <w:bottom w:val="nil"/>
              <w:right w:val="nil"/>
            </w:tcBorders>
            <w:shd w:val="clear" w:color="auto" w:fill="auto"/>
            <w:noWrap/>
            <w:vAlign w:val="bottom"/>
            <w:hideMark/>
          </w:tcPr>
          <w:p w14:paraId="2A65820B" w14:textId="5B0BC15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(2.29)</w:t>
            </w:r>
          </w:p>
        </w:tc>
        <w:tc>
          <w:tcPr>
            <w:tcW w:w="833" w:type="dxa"/>
            <w:tcBorders>
              <w:top w:val="nil"/>
              <w:left w:val="nil"/>
              <w:bottom w:val="nil"/>
              <w:right w:val="nil"/>
            </w:tcBorders>
            <w:shd w:val="clear" w:color="auto" w:fill="auto"/>
            <w:noWrap/>
            <w:vAlign w:val="bottom"/>
            <w:hideMark/>
          </w:tcPr>
          <w:p w14:paraId="133A9A71" w14:textId="214460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-0.132</w:t>
            </w:r>
          </w:p>
        </w:tc>
        <w:tc>
          <w:tcPr>
            <w:tcW w:w="866" w:type="dxa"/>
            <w:tcBorders>
              <w:top w:val="nil"/>
              <w:left w:val="nil"/>
              <w:bottom w:val="nil"/>
              <w:right w:val="nil"/>
            </w:tcBorders>
            <w:shd w:val="clear" w:color="auto" w:fill="auto"/>
            <w:noWrap/>
            <w:vAlign w:val="bottom"/>
            <w:hideMark/>
          </w:tcPr>
          <w:p w14:paraId="4A43AE9A" w14:textId="009EC9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(-1.57)</w:t>
            </w:r>
          </w:p>
        </w:tc>
        <w:tc>
          <w:tcPr>
            <w:tcW w:w="775" w:type="dxa"/>
            <w:tcBorders>
              <w:top w:val="nil"/>
              <w:left w:val="nil"/>
              <w:bottom w:val="nil"/>
              <w:right w:val="nil"/>
            </w:tcBorders>
            <w:shd w:val="clear" w:color="auto" w:fill="auto"/>
            <w:noWrap/>
            <w:vAlign w:val="bottom"/>
            <w:hideMark/>
          </w:tcPr>
          <w:p w14:paraId="218E23B6" w14:textId="0846F41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0.124</w:t>
            </w:r>
          </w:p>
        </w:tc>
        <w:tc>
          <w:tcPr>
            <w:tcW w:w="866" w:type="dxa"/>
            <w:tcBorders>
              <w:top w:val="nil"/>
              <w:left w:val="nil"/>
              <w:bottom w:val="nil"/>
              <w:right w:val="nil"/>
            </w:tcBorders>
            <w:shd w:val="clear" w:color="auto" w:fill="auto"/>
            <w:noWrap/>
            <w:vAlign w:val="bottom"/>
            <w:hideMark/>
          </w:tcPr>
          <w:p w14:paraId="64FCC7D2" w14:textId="4C3DBC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(1.52)</w:t>
            </w:r>
          </w:p>
        </w:tc>
      </w:tr>
      <w:tr w:rsidR="007A6A17" w:rsidRPr="00E2069D" w14:paraId="2327547A"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7147A65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VECINO</w:t>
            </w:r>
          </w:p>
        </w:tc>
        <w:tc>
          <w:tcPr>
            <w:tcW w:w="972" w:type="dxa"/>
            <w:tcBorders>
              <w:top w:val="nil"/>
              <w:left w:val="nil"/>
              <w:bottom w:val="nil"/>
              <w:right w:val="nil"/>
            </w:tcBorders>
            <w:shd w:val="clear" w:color="auto" w:fill="EEECE1" w:themeFill="background2"/>
            <w:noWrap/>
            <w:vAlign w:val="bottom"/>
            <w:hideMark/>
          </w:tcPr>
          <w:p w14:paraId="64C48D6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Directo</w:t>
            </w:r>
            <w:proofErr w:type="spellEnd"/>
          </w:p>
        </w:tc>
        <w:tc>
          <w:tcPr>
            <w:tcW w:w="1050" w:type="dxa"/>
            <w:tcBorders>
              <w:top w:val="nil"/>
              <w:left w:val="nil"/>
              <w:bottom w:val="nil"/>
              <w:right w:val="nil"/>
            </w:tcBorders>
            <w:shd w:val="clear" w:color="auto" w:fill="EEECE1" w:themeFill="background2"/>
            <w:noWrap/>
            <w:vAlign w:val="bottom"/>
            <w:hideMark/>
          </w:tcPr>
          <w:p w14:paraId="63726F54" w14:textId="52A7AF1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0.051</w:t>
            </w:r>
          </w:p>
        </w:tc>
        <w:tc>
          <w:tcPr>
            <w:tcW w:w="834" w:type="dxa"/>
            <w:tcBorders>
              <w:top w:val="nil"/>
              <w:left w:val="nil"/>
              <w:bottom w:val="nil"/>
              <w:right w:val="nil"/>
            </w:tcBorders>
            <w:shd w:val="clear" w:color="auto" w:fill="EEECE1" w:themeFill="background2"/>
            <w:noWrap/>
            <w:vAlign w:val="bottom"/>
            <w:hideMark/>
          </w:tcPr>
          <w:p w14:paraId="3825D676" w14:textId="2FAD48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(3.14)</w:t>
            </w:r>
          </w:p>
        </w:tc>
        <w:tc>
          <w:tcPr>
            <w:tcW w:w="833" w:type="dxa"/>
            <w:tcBorders>
              <w:top w:val="nil"/>
              <w:left w:val="nil"/>
              <w:bottom w:val="nil"/>
              <w:right w:val="nil"/>
            </w:tcBorders>
            <w:shd w:val="clear" w:color="auto" w:fill="EEECE1" w:themeFill="background2"/>
            <w:noWrap/>
            <w:vAlign w:val="bottom"/>
            <w:hideMark/>
          </w:tcPr>
          <w:p w14:paraId="1EA14AC1" w14:textId="6B97272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0.035</w:t>
            </w:r>
          </w:p>
        </w:tc>
        <w:tc>
          <w:tcPr>
            <w:tcW w:w="866" w:type="dxa"/>
            <w:tcBorders>
              <w:top w:val="nil"/>
              <w:left w:val="nil"/>
              <w:bottom w:val="nil"/>
              <w:right w:val="nil"/>
            </w:tcBorders>
            <w:shd w:val="clear" w:color="auto" w:fill="EEECE1" w:themeFill="background2"/>
            <w:noWrap/>
            <w:vAlign w:val="bottom"/>
            <w:hideMark/>
          </w:tcPr>
          <w:p w14:paraId="2CBD9872" w14:textId="031B67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(1.94)</w:t>
            </w:r>
          </w:p>
        </w:tc>
        <w:tc>
          <w:tcPr>
            <w:tcW w:w="833" w:type="dxa"/>
            <w:tcBorders>
              <w:top w:val="nil"/>
              <w:left w:val="nil"/>
              <w:bottom w:val="nil"/>
              <w:right w:val="nil"/>
            </w:tcBorders>
            <w:shd w:val="clear" w:color="auto" w:fill="EEECE1" w:themeFill="background2"/>
            <w:noWrap/>
            <w:vAlign w:val="bottom"/>
            <w:hideMark/>
          </w:tcPr>
          <w:p w14:paraId="008E0816" w14:textId="06D6F0A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0.027</w:t>
            </w:r>
          </w:p>
        </w:tc>
        <w:tc>
          <w:tcPr>
            <w:tcW w:w="866" w:type="dxa"/>
            <w:tcBorders>
              <w:top w:val="nil"/>
              <w:left w:val="nil"/>
              <w:bottom w:val="nil"/>
              <w:right w:val="nil"/>
            </w:tcBorders>
            <w:shd w:val="clear" w:color="auto" w:fill="EEECE1" w:themeFill="background2"/>
            <w:noWrap/>
            <w:vAlign w:val="bottom"/>
            <w:hideMark/>
          </w:tcPr>
          <w:p w14:paraId="63D8F015" w14:textId="57B04E5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(1.30)</w:t>
            </w:r>
          </w:p>
        </w:tc>
        <w:tc>
          <w:tcPr>
            <w:tcW w:w="775" w:type="dxa"/>
            <w:tcBorders>
              <w:top w:val="nil"/>
              <w:left w:val="nil"/>
              <w:bottom w:val="nil"/>
              <w:right w:val="nil"/>
            </w:tcBorders>
            <w:shd w:val="clear" w:color="auto" w:fill="EEECE1" w:themeFill="background2"/>
            <w:noWrap/>
            <w:vAlign w:val="bottom"/>
            <w:hideMark/>
          </w:tcPr>
          <w:p w14:paraId="147F4966" w14:textId="1DE7C4B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0.024</w:t>
            </w:r>
          </w:p>
        </w:tc>
        <w:tc>
          <w:tcPr>
            <w:tcW w:w="866" w:type="dxa"/>
            <w:tcBorders>
              <w:top w:val="nil"/>
              <w:left w:val="nil"/>
              <w:bottom w:val="nil"/>
              <w:right w:val="nil"/>
            </w:tcBorders>
            <w:shd w:val="clear" w:color="auto" w:fill="EEECE1" w:themeFill="background2"/>
            <w:noWrap/>
            <w:vAlign w:val="bottom"/>
            <w:hideMark/>
          </w:tcPr>
          <w:p w14:paraId="722F7EFB" w14:textId="6F3A503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(1.18)</w:t>
            </w:r>
          </w:p>
        </w:tc>
      </w:tr>
      <w:tr w:rsidR="007A6A17" w:rsidRPr="00E2069D" w14:paraId="35EF46D6"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6E09860"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61425C5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Indirecto</w:t>
            </w:r>
            <w:proofErr w:type="spellEnd"/>
          </w:p>
        </w:tc>
        <w:tc>
          <w:tcPr>
            <w:tcW w:w="1050" w:type="dxa"/>
            <w:tcBorders>
              <w:top w:val="nil"/>
              <w:left w:val="nil"/>
              <w:bottom w:val="nil"/>
              <w:right w:val="nil"/>
            </w:tcBorders>
            <w:shd w:val="clear" w:color="auto" w:fill="EEECE1" w:themeFill="background2"/>
            <w:noWrap/>
            <w:vAlign w:val="bottom"/>
            <w:hideMark/>
          </w:tcPr>
          <w:p w14:paraId="49DE2C2F" w14:textId="302C0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-0.021</w:t>
            </w:r>
          </w:p>
        </w:tc>
        <w:tc>
          <w:tcPr>
            <w:tcW w:w="834" w:type="dxa"/>
            <w:tcBorders>
              <w:top w:val="nil"/>
              <w:left w:val="nil"/>
              <w:bottom w:val="nil"/>
              <w:right w:val="nil"/>
            </w:tcBorders>
            <w:shd w:val="clear" w:color="auto" w:fill="EEECE1" w:themeFill="background2"/>
            <w:noWrap/>
            <w:vAlign w:val="bottom"/>
            <w:hideMark/>
          </w:tcPr>
          <w:p w14:paraId="6B51DD17" w14:textId="5AE78A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(-0.79)</w:t>
            </w:r>
          </w:p>
        </w:tc>
        <w:tc>
          <w:tcPr>
            <w:tcW w:w="833" w:type="dxa"/>
            <w:tcBorders>
              <w:top w:val="nil"/>
              <w:left w:val="nil"/>
              <w:bottom w:val="nil"/>
              <w:right w:val="nil"/>
            </w:tcBorders>
            <w:shd w:val="clear" w:color="auto" w:fill="EEECE1" w:themeFill="background2"/>
            <w:noWrap/>
            <w:vAlign w:val="bottom"/>
            <w:hideMark/>
          </w:tcPr>
          <w:p w14:paraId="3E9BA947" w14:textId="0793A12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-0.079</w:t>
            </w:r>
          </w:p>
        </w:tc>
        <w:tc>
          <w:tcPr>
            <w:tcW w:w="866" w:type="dxa"/>
            <w:tcBorders>
              <w:top w:val="nil"/>
              <w:left w:val="nil"/>
              <w:bottom w:val="nil"/>
              <w:right w:val="nil"/>
            </w:tcBorders>
            <w:shd w:val="clear" w:color="auto" w:fill="EEECE1" w:themeFill="background2"/>
            <w:noWrap/>
            <w:vAlign w:val="bottom"/>
            <w:hideMark/>
          </w:tcPr>
          <w:p w14:paraId="74B9CE40" w14:textId="4977157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(-2.74)</w:t>
            </w:r>
          </w:p>
        </w:tc>
        <w:tc>
          <w:tcPr>
            <w:tcW w:w="833" w:type="dxa"/>
            <w:tcBorders>
              <w:top w:val="nil"/>
              <w:left w:val="nil"/>
              <w:bottom w:val="nil"/>
              <w:right w:val="nil"/>
            </w:tcBorders>
            <w:shd w:val="clear" w:color="auto" w:fill="EEECE1" w:themeFill="background2"/>
            <w:noWrap/>
            <w:vAlign w:val="bottom"/>
            <w:hideMark/>
          </w:tcPr>
          <w:p w14:paraId="172A55B4" w14:textId="5D3DAF1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0.064</w:t>
            </w:r>
          </w:p>
        </w:tc>
        <w:tc>
          <w:tcPr>
            <w:tcW w:w="866" w:type="dxa"/>
            <w:tcBorders>
              <w:top w:val="nil"/>
              <w:left w:val="nil"/>
              <w:bottom w:val="nil"/>
              <w:right w:val="nil"/>
            </w:tcBorders>
            <w:shd w:val="clear" w:color="auto" w:fill="EEECE1" w:themeFill="background2"/>
            <w:noWrap/>
            <w:vAlign w:val="bottom"/>
            <w:hideMark/>
          </w:tcPr>
          <w:p w14:paraId="4E2695F5" w14:textId="07C733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(1.60)</w:t>
            </w:r>
          </w:p>
        </w:tc>
        <w:tc>
          <w:tcPr>
            <w:tcW w:w="775" w:type="dxa"/>
            <w:tcBorders>
              <w:top w:val="nil"/>
              <w:left w:val="nil"/>
              <w:bottom w:val="nil"/>
              <w:right w:val="nil"/>
            </w:tcBorders>
            <w:shd w:val="clear" w:color="auto" w:fill="EEECE1" w:themeFill="background2"/>
            <w:noWrap/>
            <w:vAlign w:val="bottom"/>
            <w:hideMark/>
          </w:tcPr>
          <w:p w14:paraId="3953C15B" w14:textId="568BBB7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66" w:type="dxa"/>
            <w:tcBorders>
              <w:top w:val="nil"/>
              <w:left w:val="nil"/>
              <w:bottom w:val="nil"/>
              <w:right w:val="nil"/>
            </w:tcBorders>
            <w:shd w:val="clear" w:color="auto" w:fill="EEECE1" w:themeFill="background2"/>
            <w:noWrap/>
            <w:vAlign w:val="bottom"/>
            <w:hideMark/>
          </w:tcPr>
          <w:p w14:paraId="5D2D825E" w14:textId="422E399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(0.47)</w:t>
            </w:r>
          </w:p>
        </w:tc>
      </w:tr>
      <w:tr w:rsidR="007A6A17" w:rsidRPr="00E2069D" w14:paraId="41AB6711"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77D4ECB"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D448D6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29F2539C" w14:textId="008C046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0.031</w:t>
            </w:r>
          </w:p>
        </w:tc>
        <w:tc>
          <w:tcPr>
            <w:tcW w:w="834" w:type="dxa"/>
            <w:tcBorders>
              <w:top w:val="nil"/>
              <w:left w:val="nil"/>
              <w:bottom w:val="nil"/>
              <w:right w:val="nil"/>
            </w:tcBorders>
            <w:shd w:val="clear" w:color="auto" w:fill="EEECE1" w:themeFill="background2"/>
            <w:noWrap/>
            <w:vAlign w:val="bottom"/>
            <w:hideMark/>
          </w:tcPr>
          <w:p w14:paraId="507E4650" w14:textId="64FE5E6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(1.13)</w:t>
            </w:r>
          </w:p>
        </w:tc>
        <w:tc>
          <w:tcPr>
            <w:tcW w:w="833" w:type="dxa"/>
            <w:tcBorders>
              <w:top w:val="nil"/>
              <w:left w:val="nil"/>
              <w:bottom w:val="nil"/>
              <w:right w:val="nil"/>
            </w:tcBorders>
            <w:shd w:val="clear" w:color="auto" w:fill="EEECE1" w:themeFill="background2"/>
            <w:noWrap/>
            <w:vAlign w:val="bottom"/>
            <w:hideMark/>
          </w:tcPr>
          <w:p w14:paraId="175C3F36" w14:textId="45F3627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-0.043</w:t>
            </w:r>
          </w:p>
        </w:tc>
        <w:tc>
          <w:tcPr>
            <w:tcW w:w="866" w:type="dxa"/>
            <w:tcBorders>
              <w:top w:val="nil"/>
              <w:left w:val="nil"/>
              <w:bottom w:val="nil"/>
              <w:right w:val="nil"/>
            </w:tcBorders>
            <w:shd w:val="clear" w:color="auto" w:fill="EEECE1" w:themeFill="background2"/>
            <w:noWrap/>
            <w:vAlign w:val="bottom"/>
            <w:hideMark/>
          </w:tcPr>
          <w:p w14:paraId="48F1AD6B" w14:textId="134365A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(-1.55)</w:t>
            </w:r>
          </w:p>
        </w:tc>
        <w:tc>
          <w:tcPr>
            <w:tcW w:w="833" w:type="dxa"/>
            <w:tcBorders>
              <w:top w:val="nil"/>
              <w:left w:val="nil"/>
              <w:bottom w:val="nil"/>
              <w:right w:val="nil"/>
            </w:tcBorders>
            <w:shd w:val="clear" w:color="auto" w:fill="EEECE1" w:themeFill="background2"/>
            <w:noWrap/>
            <w:vAlign w:val="bottom"/>
            <w:hideMark/>
          </w:tcPr>
          <w:p w14:paraId="7A96C18D" w14:textId="19B87B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nil"/>
              <w:right w:val="nil"/>
            </w:tcBorders>
            <w:shd w:val="clear" w:color="auto" w:fill="EEECE1" w:themeFill="background2"/>
            <w:noWrap/>
            <w:vAlign w:val="bottom"/>
            <w:hideMark/>
          </w:tcPr>
          <w:p w14:paraId="048C3CB5" w14:textId="6E2A051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(1.99)</w:t>
            </w:r>
          </w:p>
        </w:tc>
        <w:tc>
          <w:tcPr>
            <w:tcW w:w="775" w:type="dxa"/>
            <w:tcBorders>
              <w:top w:val="nil"/>
              <w:left w:val="nil"/>
              <w:bottom w:val="nil"/>
              <w:right w:val="nil"/>
            </w:tcBorders>
            <w:shd w:val="clear" w:color="auto" w:fill="EEECE1" w:themeFill="background2"/>
            <w:noWrap/>
            <w:vAlign w:val="bottom"/>
            <w:hideMark/>
          </w:tcPr>
          <w:p w14:paraId="1301903F" w14:textId="43A6E1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0.044</w:t>
            </w:r>
          </w:p>
        </w:tc>
        <w:tc>
          <w:tcPr>
            <w:tcW w:w="866" w:type="dxa"/>
            <w:tcBorders>
              <w:top w:val="nil"/>
              <w:left w:val="nil"/>
              <w:bottom w:val="nil"/>
              <w:right w:val="nil"/>
            </w:tcBorders>
            <w:shd w:val="clear" w:color="auto" w:fill="EEECE1" w:themeFill="background2"/>
            <w:noWrap/>
            <w:vAlign w:val="bottom"/>
            <w:hideMark/>
          </w:tcPr>
          <w:p w14:paraId="3E0785F9" w14:textId="5BF0E82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(1.01)</w:t>
            </w:r>
          </w:p>
        </w:tc>
      </w:tr>
      <w:tr w:rsidR="007A6A17" w:rsidRPr="00E2069D" w14:paraId="10DE45C0" w14:textId="77777777" w:rsidTr="007A6A17">
        <w:trPr>
          <w:trHeight w:val="496"/>
        </w:trPr>
        <w:tc>
          <w:tcPr>
            <w:tcW w:w="1305" w:type="dxa"/>
            <w:tcBorders>
              <w:top w:val="nil"/>
              <w:left w:val="nil"/>
              <w:bottom w:val="nil"/>
              <w:right w:val="nil"/>
            </w:tcBorders>
            <w:shd w:val="clear" w:color="auto" w:fill="auto"/>
            <w:vAlign w:val="center"/>
            <w:hideMark/>
          </w:tcPr>
          <w:p w14:paraId="679DC7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SC</w:t>
            </w:r>
          </w:p>
        </w:tc>
        <w:tc>
          <w:tcPr>
            <w:tcW w:w="972" w:type="dxa"/>
            <w:tcBorders>
              <w:top w:val="nil"/>
              <w:left w:val="nil"/>
              <w:bottom w:val="nil"/>
              <w:right w:val="nil"/>
            </w:tcBorders>
            <w:shd w:val="clear" w:color="auto" w:fill="auto"/>
            <w:noWrap/>
            <w:vAlign w:val="bottom"/>
            <w:hideMark/>
          </w:tcPr>
          <w:p w14:paraId="2AEFC91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Directo</w:t>
            </w:r>
            <w:proofErr w:type="spellEnd"/>
          </w:p>
        </w:tc>
        <w:tc>
          <w:tcPr>
            <w:tcW w:w="1050" w:type="dxa"/>
            <w:tcBorders>
              <w:top w:val="nil"/>
              <w:left w:val="nil"/>
              <w:bottom w:val="nil"/>
              <w:right w:val="nil"/>
            </w:tcBorders>
            <w:shd w:val="clear" w:color="auto" w:fill="auto"/>
            <w:noWrap/>
            <w:vAlign w:val="bottom"/>
            <w:hideMark/>
          </w:tcPr>
          <w:p w14:paraId="4C016D56" w14:textId="7F7B31B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0.035</w:t>
            </w:r>
          </w:p>
        </w:tc>
        <w:tc>
          <w:tcPr>
            <w:tcW w:w="834" w:type="dxa"/>
            <w:tcBorders>
              <w:top w:val="nil"/>
              <w:left w:val="nil"/>
              <w:bottom w:val="nil"/>
              <w:right w:val="nil"/>
            </w:tcBorders>
            <w:shd w:val="clear" w:color="auto" w:fill="auto"/>
            <w:noWrap/>
            <w:vAlign w:val="bottom"/>
            <w:hideMark/>
          </w:tcPr>
          <w:p w14:paraId="6DCC661D" w14:textId="34DBB7B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(0.69)</w:t>
            </w:r>
          </w:p>
        </w:tc>
        <w:tc>
          <w:tcPr>
            <w:tcW w:w="833" w:type="dxa"/>
            <w:tcBorders>
              <w:top w:val="nil"/>
              <w:left w:val="nil"/>
              <w:bottom w:val="nil"/>
              <w:right w:val="nil"/>
            </w:tcBorders>
            <w:shd w:val="clear" w:color="auto" w:fill="auto"/>
            <w:noWrap/>
            <w:vAlign w:val="bottom"/>
            <w:hideMark/>
          </w:tcPr>
          <w:p w14:paraId="557659A0" w14:textId="4C518DF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-0.010</w:t>
            </w:r>
          </w:p>
        </w:tc>
        <w:tc>
          <w:tcPr>
            <w:tcW w:w="866" w:type="dxa"/>
            <w:tcBorders>
              <w:top w:val="nil"/>
              <w:left w:val="nil"/>
              <w:bottom w:val="nil"/>
              <w:right w:val="nil"/>
            </w:tcBorders>
            <w:shd w:val="clear" w:color="auto" w:fill="auto"/>
            <w:noWrap/>
            <w:vAlign w:val="bottom"/>
            <w:hideMark/>
          </w:tcPr>
          <w:p w14:paraId="385928F7" w14:textId="305AFF5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(-0.16)</w:t>
            </w:r>
          </w:p>
        </w:tc>
        <w:tc>
          <w:tcPr>
            <w:tcW w:w="833" w:type="dxa"/>
            <w:tcBorders>
              <w:top w:val="nil"/>
              <w:left w:val="nil"/>
              <w:bottom w:val="nil"/>
              <w:right w:val="nil"/>
            </w:tcBorders>
            <w:shd w:val="clear" w:color="auto" w:fill="auto"/>
            <w:noWrap/>
            <w:vAlign w:val="bottom"/>
            <w:hideMark/>
          </w:tcPr>
          <w:p w14:paraId="4F855D67" w14:textId="36C9D8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-0.098</w:t>
            </w:r>
          </w:p>
        </w:tc>
        <w:tc>
          <w:tcPr>
            <w:tcW w:w="866" w:type="dxa"/>
            <w:tcBorders>
              <w:top w:val="nil"/>
              <w:left w:val="nil"/>
              <w:bottom w:val="nil"/>
              <w:right w:val="nil"/>
            </w:tcBorders>
            <w:shd w:val="clear" w:color="auto" w:fill="auto"/>
            <w:noWrap/>
            <w:vAlign w:val="bottom"/>
            <w:hideMark/>
          </w:tcPr>
          <w:p w14:paraId="4A5D11CF" w14:textId="11839DE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(-1.67)</w:t>
            </w:r>
          </w:p>
        </w:tc>
        <w:tc>
          <w:tcPr>
            <w:tcW w:w="775" w:type="dxa"/>
            <w:tcBorders>
              <w:top w:val="nil"/>
              <w:left w:val="nil"/>
              <w:bottom w:val="nil"/>
              <w:right w:val="nil"/>
            </w:tcBorders>
            <w:shd w:val="clear" w:color="auto" w:fill="auto"/>
            <w:noWrap/>
            <w:vAlign w:val="bottom"/>
            <w:hideMark/>
          </w:tcPr>
          <w:p w14:paraId="6F81006C" w14:textId="43F7F6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-0.006</w:t>
            </w:r>
          </w:p>
        </w:tc>
        <w:tc>
          <w:tcPr>
            <w:tcW w:w="866" w:type="dxa"/>
            <w:tcBorders>
              <w:top w:val="nil"/>
              <w:left w:val="nil"/>
              <w:bottom w:val="nil"/>
              <w:right w:val="nil"/>
            </w:tcBorders>
            <w:shd w:val="clear" w:color="auto" w:fill="auto"/>
            <w:noWrap/>
            <w:vAlign w:val="bottom"/>
            <w:hideMark/>
          </w:tcPr>
          <w:p w14:paraId="42FA215A" w14:textId="31ED933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w:t>
            </w:r>
          </w:p>
        </w:tc>
      </w:tr>
      <w:tr w:rsidR="007A6A17" w:rsidRPr="00E2069D" w14:paraId="76990EC5" w14:textId="77777777" w:rsidTr="007A6A17">
        <w:trPr>
          <w:trHeight w:val="496"/>
        </w:trPr>
        <w:tc>
          <w:tcPr>
            <w:tcW w:w="1305" w:type="dxa"/>
            <w:tcBorders>
              <w:top w:val="nil"/>
              <w:left w:val="nil"/>
              <w:bottom w:val="nil"/>
              <w:right w:val="nil"/>
            </w:tcBorders>
            <w:shd w:val="clear" w:color="auto" w:fill="auto"/>
            <w:noWrap/>
            <w:vAlign w:val="bottom"/>
            <w:hideMark/>
          </w:tcPr>
          <w:p w14:paraId="3A26983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5AB2C8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roofErr w:type="spellStart"/>
            <w:r w:rsidRPr="00E2069D">
              <w:rPr>
                <w:rFonts w:asciiTheme="majorHAnsi" w:hAnsiTheme="majorHAnsi" w:cstheme="majorHAnsi"/>
                <w:color w:val="000000"/>
                <w:sz w:val="20"/>
                <w:szCs w:val="20"/>
                <w:lang w:val="en-US"/>
              </w:rPr>
              <w:t>Indirecto</w:t>
            </w:r>
            <w:proofErr w:type="spellEnd"/>
          </w:p>
        </w:tc>
        <w:tc>
          <w:tcPr>
            <w:tcW w:w="1050" w:type="dxa"/>
            <w:tcBorders>
              <w:top w:val="nil"/>
              <w:left w:val="nil"/>
              <w:bottom w:val="nil"/>
              <w:right w:val="nil"/>
            </w:tcBorders>
            <w:shd w:val="clear" w:color="auto" w:fill="auto"/>
            <w:noWrap/>
            <w:vAlign w:val="bottom"/>
            <w:hideMark/>
          </w:tcPr>
          <w:p w14:paraId="42D93FF8" w14:textId="0AB4A5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0.160</w:t>
            </w:r>
          </w:p>
        </w:tc>
        <w:tc>
          <w:tcPr>
            <w:tcW w:w="834" w:type="dxa"/>
            <w:tcBorders>
              <w:top w:val="nil"/>
              <w:left w:val="nil"/>
              <w:bottom w:val="nil"/>
              <w:right w:val="nil"/>
            </w:tcBorders>
            <w:shd w:val="clear" w:color="auto" w:fill="auto"/>
            <w:noWrap/>
            <w:vAlign w:val="bottom"/>
            <w:hideMark/>
          </w:tcPr>
          <w:p w14:paraId="2377D4A7" w14:textId="22C80F3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(2.32)</w:t>
            </w:r>
          </w:p>
        </w:tc>
        <w:tc>
          <w:tcPr>
            <w:tcW w:w="833" w:type="dxa"/>
            <w:tcBorders>
              <w:top w:val="nil"/>
              <w:left w:val="nil"/>
              <w:bottom w:val="nil"/>
              <w:right w:val="nil"/>
            </w:tcBorders>
            <w:shd w:val="clear" w:color="auto" w:fill="auto"/>
            <w:noWrap/>
            <w:vAlign w:val="bottom"/>
            <w:hideMark/>
          </w:tcPr>
          <w:p w14:paraId="4725D00D" w14:textId="33AD00E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0.100</w:t>
            </w:r>
          </w:p>
        </w:tc>
        <w:tc>
          <w:tcPr>
            <w:tcW w:w="866" w:type="dxa"/>
            <w:tcBorders>
              <w:top w:val="nil"/>
              <w:left w:val="nil"/>
              <w:bottom w:val="nil"/>
              <w:right w:val="nil"/>
            </w:tcBorders>
            <w:shd w:val="clear" w:color="auto" w:fill="auto"/>
            <w:noWrap/>
            <w:vAlign w:val="bottom"/>
            <w:hideMark/>
          </w:tcPr>
          <w:p w14:paraId="10AB6435" w14:textId="5FB9CB7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(1.22)</w:t>
            </w:r>
          </w:p>
        </w:tc>
        <w:tc>
          <w:tcPr>
            <w:tcW w:w="833" w:type="dxa"/>
            <w:tcBorders>
              <w:top w:val="nil"/>
              <w:left w:val="nil"/>
              <w:bottom w:val="nil"/>
              <w:right w:val="nil"/>
            </w:tcBorders>
            <w:shd w:val="clear" w:color="auto" w:fill="auto"/>
            <w:noWrap/>
            <w:vAlign w:val="bottom"/>
            <w:hideMark/>
          </w:tcPr>
          <w:p w14:paraId="1A3004CC" w14:textId="330D0DB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0.188</w:t>
            </w:r>
          </w:p>
        </w:tc>
        <w:tc>
          <w:tcPr>
            <w:tcW w:w="866" w:type="dxa"/>
            <w:tcBorders>
              <w:top w:val="nil"/>
              <w:left w:val="nil"/>
              <w:bottom w:val="nil"/>
              <w:right w:val="nil"/>
            </w:tcBorders>
            <w:shd w:val="clear" w:color="auto" w:fill="auto"/>
            <w:noWrap/>
            <w:vAlign w:val="bottom"/>
            <w:hideMark/>
          </w:tcPr>
          <w:p w14:paraId="3F34BAC9" w14:textId="3E8BF3D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(1.89)</w:t>
            </w:r>
          </w:p>
        </w:tc>
        <w:tc>
          <w:tcPr>
            <w:tcW w:w="775" w:type="dxa"/>
            <w:tcBorders>
              <w:top w:val="nil"/>
              <w:left w:val="nil"/>
              <w:bottom w:val="nil"/>
              <w:right w:val="nil"/>
            </w:tcBorders>
            <w:shd w:val="clear" w:color="auto" w:fill="auto"/>
            <w:noWrap/>
            <w:vAlign w:val="bottom"/>
            <w:hideMark/>
          </w:tcPr>
          <w:p w14:paraId="64EE7F18" w14:textId="7E45E63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-0.005</w:t>
            </w:r>
          </w:p>
        </w:tc>
        <w:tc>
          <w:tcPr>
            <w:tcW w:w="866" w:type="dxa"/>
            <w:tcBorders>
              <w:top w:val="nil"/>
              <w:left w:val="nil"/>
              <w:bottom w:val="nil"/>
              <w:right w:val="nil"/>
            </w:tcBorders>
            <w:shd w:val="clear" w:color="auto" w:fill="auto"/>
            <w:noWrap/>
            <w:vAlign w:val="bottom"/>
            <w:hideMark/>
          </w:tcPr>
          <w:p w14:paraId="2C8E9FE6" w14:textId="74BA383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w:t>
            </w:r>
          </w:p>
        </w:tc>
      </w:tr>
      <w:tr w:rsidR="007A6A17" w:rsidRPr="00E2069D" w14:paraId="384A9885" w14:textId="77777777" w:rsidTr="007A6A17">
        <w:trPr>
          <w:trHeight w:val="521"/>
        </w:trPr>
        <w:tc>
          <w:tcPr>
            <w:tcW w:w="1305" w:type="dxa"/>
            <w:tcBorders>
              <w:top w:val="nil"/>
              <w:left w:val="nil"/>
              <w:bottom w:val="single" w:sz="8" w:space="0" w:color="auto"/>
              <w:right w:val="nil"/>
            </w:tcBorders>
            <w:shd w:val="clear" w:color="auto" w:fill="auto"/>
            <w:noWrap/>
            <w:vAlign w:val="bottom"/>
            <w:hideMark/>
          </w:tcPr>
          <w:p w14:paraId="68D8A20F"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top w:val="nil"/>
              <w:left w:val="nil"/>
              <w:bottom w:val="single" w:sz="8" w:space="0" w:color="auto"/>
              <w:right w:val="nil"/>
            </w:tcBorders>
            <w:shd w:val="clear" w:color="auto" w:fill="auto"/>
            <w:noWrap/>
            <w:vAlign w:val="bottom"/>
            <w:hideMark/>
          </w:tcPr>
          <w:p w14:paraId="59CE1B73"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single" w:sz="8" w:space="0" w:color="auto"/>
              <w:right w:val="nil"/>
            </w:tcBorders>
            <w:shd w:val="clear" w:color="auto" w:fill="auto"/>
            <w:noWrap/>
            <w:vAlign w:val="bottom"/>
            <w:hideMark/>
          </w:tcPr>
          <w:p w14:paraId="52FFEA3C" w14:textId="3F64BCA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0.195</w:t>
            </w:r>
          </w:p>
        </w:tc>
        <w:tc>
          <w:tcPr>
            <w:tcW w:w="834" w:type="dxa"/>
            <w:tcBorders>
              <w:top w:val="nil"/>
              <w:left w:val="nil"/>
              <w:bottom w:val="single" w:sz="8" w:space="0" w:color="auto"/>
              <w:right w:val="nil"/>
            </w:tcBorders>
            <w:shd w:val="clear" w:color="auto" w:fill="auto"/>
            <w:noWrap/>
            <w:vAlign w:val="bottom"/>
            <w:hideMark/>
          </w:tcPr>
          <w:p w14:paraId="3EC9E95F" w14:textId="0BA842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(3.63)</w:t>
            </w:r>
          </w:p>
        </w:tc>
        <w:tc>
          <w:tcPr>
            <w:tcW w:w="833" w:type="dxa"/>
            <w:tcBorders>
              <w:top w:val="nil"/>
              <w:left w:val="nil"/>
              <w:bottom w:val="single" w:sz="8" w:space="0" w:color="auto"/>
              <w:right w:val="nil"/>
            </w:tcBorders>
            <w:shd w:val="clear" w:color="auto" w:fill="auto"/>
            <w:noWrap/>
            <w:vAlign w:val="bottom"/>
            <w:hideMark/>
          </w:tcPr>
          <w:p w14:paraId="630AB8BA" w14:textId="423AE9F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single" w:sz="8" w:space="0" w:color="auto"/>
              <w:right w:val="nil"/>
            </w:tcBorders>
            <w:shd w:val="clear" w:color="auto" w:fill="auto"/>
            <w:noWrap/>
            <w:vAlign w:val="bottom"/>
            <w:hideMark/>
          </w:tcPr>
          <w:p w14:paraId="2D5DA1E5" w14:textId="2035828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(1.50)</w:t>
            </w:r>
          </w:p>
        </w:tc>
        <w:tc>
          <w:tcPr>
            <w:tcW w:w="833" w:type="dxa"/>
            <w:tcBorders>
              <w:top w:val="nil"/>
              <w:left w:val="nil"/>
              <w:bottom w:val="single" w:sz="8" w:space="0" w:color="auto"/>
              <w:right w:val="nil"/>
            </w:tcBorders>
            <w:shd w:val="clear" w:color="auto" w:fill="auto"/>
            <w:noWrap/>
            <w:vAlign w:val="bottom"/>
            <w:hideMark/>
          </w:tcPr>
          <w:p w14:paraId="7C189E5D" w14:textId="43832F1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0.091</w:t>
            </w:r>
          </w:p>
        </w:tc>
        <w:tc>
          <w:tcPr>
            <w:tcW w:w="866" w:type="dxa"/>
            <w:tcBorders>
              <w:top w:val="nil"/>
              <w:left w:val="nil"/>
              <w:bottom w:val="single" w:sz="8" w:space="0" w:color="auto"/>
              <w:right w:val="nil"/>
            </w:tcBorders>
            <w:shd w:val="clear" w:color="auto" w:fill="auto"/>
            <w:noWrap/>
            <w:vAlign w:val="bottom"/>
            <w:hideMark/>
          </w:tcPr>
          <w:p w14:paraId="57803D43" w14:textId="6DC09F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(0.96)</w:t>
            </w:r>
          </w:p>
        </w:tc>
        <w:tc>
          <w:tcPr>
            <w:tcW w:w="775" w:type="dxa"/>
            <w:tcBorders>
              <w:top w:val="nil"/>
              <w:left w:val="nil"/>
              <w:bottom w:val="single" w:sz="8" w:space="0" w:color="auto"/>
              <w:right w:val="nil"/>
            </w:tcBorders>
            <w:shd w:val="clear" w:color="auto" w:fill="auto"/>
            <w:noWrap/>
            <w:vAlign w:val="bottom"/>
            <w:hideMark/>
          </w:tcPr>
          <w:p w14:paraId="6DBB0755" w14:textId="7835F20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-0.011</w:t>
            </w:r>
          </w:p>
        </w:tc>
        <w:tc>
          <w:tcPr>
            <w:tcW w:w="866" w:type="dxa"/>
            <w:tcBorders>
              <w:top w:val="nil"/>
              <w:left w:val="nil"/>
              <w:bottom w:val="single" w:sz="8" w:space="0" w:color="auto"/>
              <w:right w:val="nil"/>
            </w:tcBorders>
            <w:shd w:val="clear" w:color="auto" w:fill="auto"/>
            <w:noWrap/>
            <w:vAlign w:val="bottom"/>
            <w:hideMark/>
          </w:tcPr>
          <w:p w14:paraId="3B153979" w14:textId="22792B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w:t>
            </w:r>
          </w:p>
        </w:tc>
      </w:tr>
    </w:tbl>
    <w:p w14:paraId="391D82D4" w14:textId="419B8A59" w:rsidR="004E4679" w:rsidRDefault="00492CEC" w:rsidP="00D32E14">
      <w:r>
        <w:t xml:space="preserve">Notas: </w:t>
      </w:r>
      <w:r w:rsidR="002B7B52">
        <w:t xml:space="preserve">Estadístico t entre paréntesis. </w:t>
      </w:r>
    </w:p>
    <w:p w14:paraId="74DC1784" w14:textId="4500BD4C" w:rsidR="00180729" w:rsidRDefault="00180729" w:rsidP="00D32E14">
      <w:r>
        <w:t xml:space="preserve">Centrándonos en los resultados </w:t>
      </w:r>
      <w:r w:rsidR="00D26E1D">
        <w:t>de largo plazo</w:t>
      </w:r>
      <w:r w:rsidR="000F0308">
        <w:t>, se tiene que el efecto para una estación de ser adquirida es significativo e igual a 9</w:t>
      </w:r>
      <w:r w:rsidR="00450FFA">
        <w:t>.1</w:t>
      </w:r>
      <w:r w:rsidR="000F0308">
        <w:t xml:space="preserve"> centavos para el diésel y</w:t>
      </w:r>
      <w:r w:rsidR="00450FFA">
        <w:t xml:space="preserve"> 7.7</w:t>
      </w:r>
      <w:r w:rsidR="000F0308">
        <w:t xml:space="preserve"> centavos para el </w:t>
      </w:r>
      <w:proofErr w:type="spellStart"/>
      <w:r w:rsidR="000F0308">
        <w:t>gasohol</w:t>
      </w:r>
      <w:proofErr w:type="spellEnd"/>
      <w:r w:rsidR="000F0308">
        <w:t xml:space="preserve"> 90. </w:t>
      </w:r>
      <w:r w:rsidR="006201B5">
        <w:t xml:space="preserve">De igual manera, las estaciones vecinas a las adquiridas tienen un precio mayor </w:t>
      </w:r>
      <w:r w:rsidR="007A6A17">
        <w:t>de</w:t>
      </w:r>
      <w:r w:rsidR="006201B5">
        <w:t xml:space="preserve"> diésel (5 centavos), </w:t>
      </w:r>
      <w:r w:rsidR="007A6A17">
        <w:t xml:space="preserve">pero un aumento no significativo para </w:t>
      </w:r>
      <w:proofErr w:type="spellStart"/>
      <w:r w:rsidR="007A6A17">
        <w:t>gasohol</w:t>
      </w:r>
      <w:proofErr w:type="spellEnd"/>
      <w:r w:rsidR="007A6A17">
        <w:t>.</w:t>
      </w:r>
      <w:r w:rsidR="00877912">
        <w:t xml:space="preserve"> Las estaciones que tenían contrato de suministro de combustible con Pecsa (variable CONTRATO = 1) no presentan incrementos </w:t>
      </w:r>
      <w:r w:rsidR="00877912">
        <w:lastRenderedPageBreak/>
        <w:t xml:space="preserve">significativos de precios. Finalmente, </w:t>
      </w:r>
      <w:r w:rsidR="00E33BE1">
        <w:t xml:space="preserve">el efecto directo del </w:t>
      </w:r>
      <w:r w:rsidR="00877912">
        <w:t>agrupamie</w:t>
      </w:r>
      <w:r w:rsidR="00E33BE1">
        <w:t>nto espacial no es significativo, solo siendo significativo el efecto total</w:t>
      </w:r>
      <w:r w:rsidR="00C74D1E">
        <w:t xml:space="preserve"> para el diésel en el período de 18 meses. </w:t>
      </w:r>
    </w:p>
    <w:p w14:paraId="132F71D6" w14:textId="73AE7E15" w:rsidR="00793EFA" w:rsidRPr="00074369" w:rsidRDefault="00793EFA" w:rsidP="00793EFA">
      <w:pPr>
        <w:pStyle w:val="Ttulo2"/>
      </w:pPr>
      <w:bookmarkStart w:id="181" w:name="_Toc11179119"/>
      <w:r w:rsidRPr="00074369">
        <w:t>Estimación utilizando diferencias-en-diferencias</w:t>
      </w:r>
      <w:bookmarkEnd w:id="181"/>
    </w:p>
    <w:p w14:paraId="57ED3DA6" w14:textId="08B4BA1D" w:rsidR="00793EFA" w:rsidRPr="00074369" w:rsidRDefault="008E4057" w:rsidP="00D32E14">
      <w:r>
        <w:t xml:space="preserve">Los resultados anteriores muestran un efecto significativo de aumento de precios utilizando un modelo de datos de panel. </w:t>
      </w:r>
      <w:r w:rsidR="00493BB2" w:rsidRPr="00074369">
        <w:t>Se quiere</w:t>
      </w:r>
      <w:r>
        <w:t xml:space="preserve"> validar estos resultados</w:t>
      </w:r>
      <w:r w:rsidR="00493BB2" w:rsidRPr="00074369">
        <w:t xml:space="preserve"> </w:t>
      </w:r>
      <w:r>
        <w:t>utilizando el</w:t>
      </w:r>
      <w:r w:rsidR="00493BB2" w:rsidRPr="00074369">
        <w:t xml:space="preserve"> método</w:t>
      </w:r>
      <w:r>
        <w:t xml:space="preserve"> de diferencias-en-diferencias para medir </w:t>
      </w:r>
      <w:r w:rsidR="00493BB2" w:rsidRPr="00074369">
        <w:t>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sidRPr="00074369">
        <w:t xml:space="preserve"> presentada en las ecuaciones </w:t>
      </w:r>
      <w:r w:rsidR="00AF3DD9" w:rsidRPr="00074369">
        <w:fldChar w:fldCharType="begin"/>
      </w:r>
      <w:r w:rsidR="00AF3DD9" w:rsidRPr="00074369">
        <w:instrText xml:space="preserve"> REF compra_esp \h </w:instrText>
      </w:r>
      <w:r w:rsidR="00AF3DD9" w:rsidRPr="00074369">
        <w:fldChar w:fldCharType="separate"/>
      </w:r>
      <m:oMath>
        <m:r>
          <m:rPr>
            <m:sty m:val="p"/>
          </m:rPr>
          <w:rPr>
            <w:rFonts w:ascii="Cambria Math" w:hAnsi="Cambria Math"/>
            <w:noProof/>
          </w:rPr>
          <m:t>1</m:t>
        </m:r>
      </m:oMath>
      <w:r w:rsidR="00AF3DD9" w:rsidRPr="00074369">
        <w:fldChar w:fldCharType="end"/>
      </w:r>
      <w:r w:rsidR="00AF3DD9" w:rsidRPr="00074369">
        <w:t xml:space="preserve"> y </w:t>
      </w:r>
      <w:r w:rsidR="00AF3DD9" w:rsidRPr="00074369">
        <w:fldChar w:fldCharType="begin"/>
      </w:r>
      <w:r w:rsidR="00AF3DD9" w:rsidRPr="00074369">
        <w:instrText xml:space="preserve"> REF vecino_esp \h </w:instrText>
      </w:r>
      <w:r w:rsidR="00AF3DD9" w:rsidRPr="00074369">
        <w:fldChar w:fldCharType="separate"/>
      </w:r>
      <m:oMath>
        <m:r>
          <m:rPr>
            <m:sty m:val="p"/>
          </m:rPr>
          <w:rPr>
            <w:rFonts w:ascii="Cambria Math" w:hAnsi="Cambria Math"/>
            <w:noProof/>
          </w:rPr>
          <m:t>2</m:t>
        </m:r>
      </m:oMath>
      <w:r w:rsidR="00AF3DD9" w:rsidRPr="00074369">
        <w:fldChar w:fldCharType="end"/>
      </w:r>
      <w:r w:rsidR="00AF3DD9" w:rsidRPr="00074369">
        <w:t xml:space="preserve">. </w:t>
      </w:r>
    </w:p>
    <w:p w14:paraId="77268582" w14:textId="63D9593A" w:rsidR="00010844" w:rsidRPr="00074369" w:rsidRDefault="00C31C4C" w:rsidP="00C31C4C">
      <w:pPr>
        <w:pStyle w:val="Ttulo3"/>
      </w:pPr>
      <w:bookmarkStart w:id="182" w:name="_Toc11179120"/>
      <w:r w:rsidRPr="00074369">
        <w:t>Efecto de la compra</w:t>
      </w:r>
      <w:r w:rsidR="00041A5D" w:rsidRPr="00074369">
        <w:t xml:space="preserve"> sobre los precios de las estaciones</w:t>
      </w:r>
      <w:bookmarkEnd w:id="182"/>
    </w:p>
    <w:p w14:paraId="78C50779" w14:textId="18E7AB27" w:rsidR="009B0169" w:rsidRPr="00074369" w:rsidRDefault="009B0169" w:rsidP="009B0169">
      <w:r w:rsidRPr="00074369">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sidRPr="00074369">
        <w:t xml:space="preserve"> (ver </w:t>
      </w:r>
      <w:r w:rsidR="00384D7C" w:rsidRPr="00074369">
        <w:fldChar w:fldCharType="begin"/>
      </w:r>
      <w:r w:rsidR="00384D7C" w:rsidRPr="00074369">
        <w:instrText xml:space="preserve"> REF _Ref8911580 \h </w:instrText>
      </w:r>
      <w:r w:rsidR="00384D7C" w:rsidRPr="00074369">
        <w:fldChar w:fldCharType="separate"/>
      </w:r>
      <w:r w:rsidR="004C0429" w:rsidRPr="00074369">
        <w:t xml:space="preserve">Tabla </w:t>
      </w:r>
      <w:r w:rsidR="004C0429">
        <w:rPr>
          <w:noProof/>
        </w:rPr>
        <w:t>6</w:t>
      </w:r>
      <w:r w:rsidR="00384D7C" w:rsidRPr="00074369">
        <w:fldChar w:fldCharType="end"/>
      </w:r>
      <w:r w:rsidR="00384D7C" w:rsidRPr="00074369">
        <w:t>)</w:t>
      </w:r>
      <w:r w:rsidRPr="00074369">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sidRPr="00074369">
        <w:t>E</w:t>
      </w:r>
      <w:r w:rsidRPr="00074369">
        <w:t>n un período de 6 meses antes de la adquisición hasta tres meses luego de la misma, el cambio en el precio del diésel en las estaciones Pecsa adquiridas es cercano a 0 y no significativo.</w:t>
      </w:r>
      <w:r w:rsidR="000B3D47" w:rsidRPr="00074369">
        <w:t xml:space="preserve"> (2) Los efectos de aumento de precio son mayores y significativos a partir de los tres meses luego de la adquisición.</w:t>
      </w:r>
    </w:p>
    <w:p w14:paraId="6740FC83" w14:textId="533D1646" w:rsidR="00672897" w:rsidRPr="00074369" w:rsidRDefault="00672897" w:rsidP="00672897">
      <w:r w:rsidRPr="00074369">
        <w:t xml:space="preserve">La </w:t>
      </w:r>
      <w:r w:rsidR="00027D61">
        <w:t xml:space="preserve">tabla </w:t>
      </w:r>
      <w:r w:rsidR="00027D61">
        <w:fldChar w:fldCharType="begin"/>
      </w:r>
      <w:r w:rsidR="00027D61">
        <w:instrText xml:space="preserve"> REF _Ref11596066 </w:instrText>
      </w:r>
      <w:r w:rsidR="00027D61" w:rsidRPr="00027D61">
        <w:instrText xml:space="preserve">\# 0 </w:instrText>
      </w:r>
      <w:r w:rsidR="00027D61">
        <w:instrText xml:space="preserve">\h </w:instrText>
      </w:r>
      <w:r w:rsidR="00027D61">
        <w:fldChar w:fldCharType="separate"/>
      </w:r>
      <w:r w:rsidR="00027D61">
        <w:t>7</w:t>
      </w:r>
      <w:r w:rsidR="00027D61">
        <w:fldChar w:fldCharType="end"/>
      </w:r>
      <w:r w:rsidRPr="00074369">
        <w:t xml:space="preserve"> presenta la estimación para el </w:t>
      </w:r>
      <w:proofErr w:type="spellStart"/>
      <w:r w:rsidRPr="00074369">
        <w:t>gasohol</w:t>
      </w:r>
      <w:proofErr w:type="spellEnd"/>
      <w:r w:rsidRPr="00074369">
        <w:t xml:space="preserve"> 90 y se aprecia un escenario parecido, con un aumento de precios para las estaciones de Pecsa de alrededor de 12 centavos y con efectos cercanos a cero y no significativos para los períodos antes de la adquisición. Sin embargo, para el caso del </w:t>
      </w:r>
      <w:proofErr w:type="spellStart"/>
      <w:r w:rsidRPr="00074369">
        <w:t>gasohol</w:t>
      </w:r>
      <w:proofErr w:type="spellEnd"/>
      <w:r w:rsidRPr="00074369">
        <w:t>, el increment</w:t>
      </w:r>
      <w:r w:rsidR="008D482B">
        <w:t xml:space="preserve">o de precios es significativo desde </w:t>
      </w:r>
      <w:r w:rsidRPr="00074369">
        <w:t xml:space="preserve">el </w:t>
      </w:r>
      <w:r w:rsidR="008D482B">
        <w:t xml:space="preserve">primer </w:t>
      </w:r>
      <w:r w:rsidRPr="00074369">
        <w:t>trimestr</w:t>
      </w:r>
      <w:r w:rsidR="008D482B">
        <w:t>e posterior a</w:t>
      </w:r>
      <w:r w:rsidRPr="00074369">
        <w:t xml:space="preserve"> la adquisición.</w:t>
      </w:r>
    </w:p>
    <w:p w14:paraId="74511797" w14:textId="10D70542" w:rsidR="00400240" w:rsidRPr="00074369" w:rsidRDefault="00400240" w:rsidP="00400240">
      <w:pPr>
        <w:pStyle w:val="Descripcin"/>
      </w:pPr>
      <w:bookmarkStart w:id="183" w:name="_Ref8911580"/>
      <w:bookmarkStart w:id="184" w:name="_Toc9171795"/>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6</w:t>
      </w:r>
      <w:r w:rsidRPr="00074369">
        <w:fldChar w:fldCharType="end"/>
      </w:r>
      <w:bookmarkEnd w:id="183"/>
      <w:r w:rsidRPr="00074369">
        <w:t>: Cambio en precio de diésel para estaciones adquiridas</w:t>
      </w:r>
      <w:bookmarkEnd w:id="184"/>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074369"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4" w:space="0" w:color="auto"/>
            </w:tcBorders>
            <w:hideMark/>
          </w:tcPr>
          <w:p w14:paraId="020548A6" w14:textId="77777777" w:rsidR="001E52B9" w:rsidRPr="00074369" w:rsidRDefault="001E52B9" w:rsidP="001E52B9">
            <w:pPr>
              <w:spacing w:after="0" w:line="240" w:lineRule="auto"/>
              <w:jc w:val="center"/>
              <w:rPr>
                <w:rFonts w:asciiTheme="minorHAnsi" w:hAnsiTheme="minorHAnsi" w:cstheme="minorHAnsi"/>
                <w:szCs w:val="20"/>
              </w:rPr>
            </w:pPr>
          </w:p>
        </w:tc>
        <w:tc>
          <w:tcPr>
            <w:tcW w:w="1067" w:type="dxa"/>
            <w:tcBorders>
              <w:bottom w:val="single" w:sz="4" w:space="0" w:color="auto"/>
            </w:tcBorders>
            <w:hideMark/>
          </w:tcPr>
          <w:p w14:paraId="1FC0AA6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3D55D75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132C547"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3C6EFC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1E52B9" w:rsidRPr="00074369"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tcBorders>
            <w:hideMark/>
          </w:tcPr>
          <w:p w14:paraId="2722B2CD" w14:textId="3A74C476" w:rsidR="001E52B9" w:rsidRPr="00074369" w:rsidRDefault="001E52B9" w:rsidP="001E52B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Dum.Comprada</w:t>
            </w:r>
            <w:proofErr w:type="spellEnd"/>
          </w:p>
        </w:tc>
        <w:tc>
          <w:tcPr>
            <w:tcW w:w="1067" w:type="dxa"/>
            <w:tcBorders>
              <w:top w:val="single" w:sz="4" w:space="0" w:color="auto"/>
            </w:tcBorders>
            <w:hideMark/>
          </w:tcPr>
          <w:p w14:paraId="7932356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w:t>
            </w:r>
          </w:p>
        </w:tc>
        <w:tc>
          <w:tcPr>
            <w:tcW w:w="1467" w:type="dxa"/>
            <w:tcBorders>
              <w:top w:val="single" w:sz="4" w:space="0" w:color="auto"/>
            </w:tcBorders>
            <w:hideMark/>
          </w:tcPr>
          <w:p w14:paraId="163826A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-0.280</w:t>
            </w:r>
            <w:r w:rsidRPr="00074369">
              <w:rPr>
                <w:rFonts w:asciiTheme="minorHAnsi" w:hAnsiTheme="minorHAnsi" w:cstheme="minorHAnsi"/>
                <w:szCs w:val="20"/>
                <w:vertAlign w:val="superscript"/>
              </w:rPr>
              <w:t>***</w:t>
            </w:r>
          </w:p>
        </w:tc>
        <w:tc>
          <w:tcPr>
            <w:tcW w:w="1467" w:type="dxa"/>
            <w:tcBorders>
              <w:top w:val="single" w:sz="4" w:space="0" w:color="auto"/>
            </w:tcBorders>
            <w:hideMark/>
          </w:tcPr>
          <w:p w14:paraId="032EE9E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c>
          <w:tcPr>
            <w:tcW w:w="1468" w:type="dxa"/>
            <w:tcBorders>
              <w:top w:val="single" w:sz="4" w:space="0" w:color="auto"/>
            </w:tcBorders>
            <w:hideMark/>
          </w:tcPr>
          <w:p w14:paraId="39CFD640"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1E52B9" w:rsidRPr="00074369"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613715" w14:textId="77777777" w:rsidR="001E52B9" w:rsidRPr="00074369" w:rsidRDefault="001E52B9" w:rsidP="00436618">
            <w:pPr>
              <w:spacing w:after="0" w:line="240" w:lineRule="auto"/>
              <w:jc w:val="left"/>
              <w:rPr>
                <w:rFonts w:asciiTheme="minorHAnsi" w:hAnsiTheme="minorHAnsi" w:cstheme="minorHAnsi"/>
                <w:szCs w:val="20"/>
              </w:rPr>
            </w:pPr>
          </w:p>
        </w:tc>
        <w:tc>
          <w:tcPr>
            <w:tcW w:w="1067" w:type="dxa"/>
            <w:hideMark/>
          </w:tcPr>
          <w:p w14:paraId="3D8B04F5"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(0.070)</w:t>
            </w:r>
          </w:p>
        </w:tc>
        <w:tc>
          <w:tcPr>
            <w:tcW w:w="1467" w:type="dxa"/>
            <w:hideMark/>
          </w:tcPr>
          <w:p w14:paraId="194A0D2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w:t>
            </w:r>
          </w:p>
        </w:tc>
        <w:tc>
          <w:tcPr>
            <w:tcW w:w="1467" w:type="dxa"/>
            <w:hideMark/>
          </w:tcPr>
          <w:p w14:paraId="48E7B5C9"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(0.064)</w:t>
            </w:r>
          </w:p>
        </w:tc>
        <w:tc>
          <w:tcPr>
            <w:tcW w:w="1468" w:type="dxa"/>
            <w:hideMark/>
          </w:tcPr>
          <w:p w14:paraId="7C35BC54"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p>
        </w:tc>
      </w:tr>
      <w:tr w:rsidR="00AF3DD9" w:rsidRPr="00074369"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130A744" w14:textId="543E51CF"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Dum.FechaCompra</w:t>
            </w:r>
            <w:proofErr w:type="spellEnd"/>
          </w:p>
        </w:tc>
        <w:tc>
          <w:tcPr>
            <w:tcW w:w="1067" w:type="dxa"/>
            <w:hideMark/>
          </w:tcPr>
          <w:p w14:paraId="028DBDB7"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1.171</w:t>
            </w:r>
            <w:r w:rsidRPr="00074369">
              <w:rPr>
                <w:rFonts w:asciiTheme="minorHAnsi" w:hAnsiTheme="minorHAnsi" w:cstheme="minorHAnsi"/>
                <w:szCs w:val="20"/>
                <w:vertAlign w:val="superscript"/>
              </w:rPr>
              <w:t>***</w:t>
            </w:r>
          </w:p>
        </w:tc>
        <w:tc>
          <w:tcPr>
            <w:tcW w:w="1467" w:type="dxa"/>
            <w:hideMark/>
          </w:tcPr>
          <w:p w14:paraId="12B3B913"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2.494</w:t>
            </w:r>
            <w:r w:rsidRPr="00074369">
              <w:rPr>
                <w:rFonts w:asciiTheme="minorHAnsi" w:hAnsiTheme="minorHAnsi" w:cstheme="minorHAnsi"/>
                <w:szCs w:val="20"/>
                <w:vertAlign w:val="superscript"/>
              </w:rPr>
              <w:t>***</w:t>
            </w:r>
          </w:p>
        </w:tc>
        <w:tc>
          <w:tcPr>
            <w:tcW w:w="1467" w:type="dxa"/>
            <w:hideMark/>
          </w:tcPr>
          <w:p w14:paraId="13CFCC1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2.505</w:t>
            </w:r>
            <w:r w:rsidRPr="00074369">
              <w:rPr>
                <w:rFonts w:asciiTheme="minorHAnsi" w:hAnsiTheme="minorHAnsi" w:cstheme="minorHAnsi"/>
                <w:szCs w:val="20"/>
                <w:vertAlign w:val="superscript"/>
              </w:rPr>
              <w:t>***</w:t>
            </w:r>
          </w:p>
        </w:tc>
        <w:tc>
          <w:tcPr>
            <w:tcW w:w="1468" w:type="dxa"/>
            <w:hideMark/>
          </w:tcPr>
          <w:p w14:paraId="25D59C6C" w14:textId="0441C85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2.500</w:t>
            </w:r>
            <w:r w:rsidRPr="00074369">
              <w:rPr>
                <w:rFonts w:asciiTheme="minorHAnsi" w:hAnsiTheme="minorHAnsi" w:cstheme="minorHAnsi"/>
                <w:szCs w:val="20"/>
                <w:vertAlign w:val="superscript"/>
              </w:rPr>
              <w:t>***</w:t>
            </w:r>
          </w:p>
        </w:tc>
      </w:tr>
      <w:tr w:rsidR="00AF3DD9" w:rsidRPr="00074369"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D5493E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BBB1E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w:t>
            </w:r>
          </w:p>
        </w:tc>
        <w:tc>
          <w:tcPr>
            <w:tcW w:w="1467" w:type="dxa"/>
            <w:hideMark/>
          </w:tcPr>
          <w:p w14:paraId="3BA4DDB5"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(0.023)</w:t>
            </w:r>
          </w:p>
        </w:tc>
        <w:tc>
          <w:tcPr>
            <w:tcW w:w="1467" w:type="dxa"/>
            <w:hideMark/>
          </w:tcPr>
          <w:p w14:paraId="3EDA4D16"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c>
          <w:tcPr>
            <w:tcW w:w="1468" w:type="dxa"/>
            <w:hideMark/>
          </w:tcPr>
          <w:p w14:paraId="57CC0C3F" w14:textId="797F050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r>
      <w:tr w:rsidR="00AF3DD9" w:rsidRPr="00074369"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87F2264" w14:textId="0F43532B"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 xml:space="preserve">* </w:t>
            </w:r>
            <w:proofErr w:type="spellStart"/>
            <w:r w:rsidRPr="00074369">
              <w:rPr>
                <w:rFonts w:asciiTheme="minorHAnsi" w:hAnsiTheme="minorHAnsi" w:cstheme="minorHAnsi"/>
                <w:szCs w:val="20"/>
              </w:rPr>
              <w:t>D.FechaCompra</w:t>
            </w:r>
            <w:proofErr w:type="spellEnd"/>
          </w:p>
        </w:tc>
        <w:tc>
          <w:tcPr>
            <w:tcW w:w="1067" w:type="dxa"/>
            <w:hideMark/>
          </w:tcPr>
          <w:p w14:paraId="50572EAB" w14:textId="27849FC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3BA635E1" w14:textId="25F2D9A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726DD7D2" w14:textId="3CB81918"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0.084</w:t>
            </w:r>
            <w:r w:rsidRPr="00074369">
              <w:rPr>
                <w:rFonts w:asciiTheme="minorHAnsi" w:hAnsiTheme="minorHAnsi" w:cstheme="minorHAnsi"/>
                <w:szCs w:val="20"/>
                <w:vertAlign w:val="superscript"/>
              </w:rPr>
              <w:t>***</w:t>
            </w:r>
          </w:p>
        </w:tc>
        <w:tc>
          <w:tcPr>
            <w:tcW w:w="1468" w:type="dxa"/>
            <w:hideMark/>
          </w:tcPr>
          <w:p w14:paraId="7AFD8062" w14:textId="7DA777AB"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AFE6C2"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834893B" w14:textId="1CA6E60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62814D5C" w14:textId="49D3DE7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1581B3B7" w14:textId="1E5EFD0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(0.027)</w:t>
            </w:r>
          </w:p>
        </w:tc>
        <w:tc>
          <w:tcPr>
            <w:tcW w:w="1468" w:type="dxa"/>
            <w:hideMark/>
          </w:tcPr>
          <w:p w14:paraId="2BD83F89" w14:textId="3D1CB0A2"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F0D6A32" w14:textId="17678BA8"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w:t>
            </w:r>
            <w:r w:rsidR="009B0169" w:rsidRPr="00074369">
              <w:rPr>
                <w:rFonts w:asciiTheme="minorHAnsi" w:hAnsiTheme="minorHAnsi" w:cstheme="minorHAnsi"/>
                <w:szCs w:val="20"/>
              </w:rPr>
              <w:t>1</w:t>
            </w:r>
            <w:r w:rsidRPr="00074369">
              <w:rPr>
                <w:rFonts w:asciiTheme="minorHAnsi" w:hAnsiTheme="minorHAnsi" w:cstheme="minorHAnsi"/>
                <w:szCs w:val="20"/>
              </w:rPr>
              <w:t>antes</w:t>
            </w:r>
          </w:p>
        </w:tc>
        <w:tc>
          <w:tcPr>
            <w:tcW w:w="1067" w:type="dxa"/>
            <w:hideMark/>
          </w:tcPr>
          <w:p w14:paraId="50AFCE3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387DE58"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0E6983D4" w14:textId="09B9E088"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00F315CA" w14:textId="5C2597A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w:t>
            </w:r>
          </w:p>
        </w:tc>
      </w:tr>
      <w:tr w:rsidR="00AF3DD9" w:rsidRPr="00074369"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B387B9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EB5599"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5F3F8DA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242AD714" w14:textId="2937C39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A89E62C" w14:textId="4DB86C2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AF3DD9" w:rsidRPr="00074369"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73A81B01" w14:textId="0CF0F0B8"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*D.1desp</w:t>
            </w:r>
          </w:p>
        </w:tc>
        <w:tc>
          <w:tcPr>
            <w:tcW w:w="1067" w:type="dxa"/>
            <w:hideMark/>
          </w:tcPr>
          <w:p w14:paraId="1320FD83"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73AA3FB6"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655B2100" w14:textId="73283E40"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740DEED0" w14:textId="2BFCA0D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0.001</w:t>
            </w:r>
          </w:p>
        </w:tc>
      </w:tr>
      <w:tr w:rsidR="00AF3DD9" w:rsidRPr="00074369"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1BC53D9"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30E9666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50B3F17"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B801785" w14:textId="15B3333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C130BB5" w14:textId="7BA1760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(0.035)</w:t>
            </w:r>
          </w:p>
        </w:tc>
      </w:tr>
      <w:tr w:rsidR="00AF3DD9" w:rsidRPr="00074369"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310A9DD" w14:textId="0E16327B"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*D.2desp</w:t>
            </w:r>
          </w:p>
        </w:tc>
        <w:tc>
          <w:tcPr>
            <w:tcW w:w="1067" w:type="dxa"/>
            <w:hideMark/>
          </w:tcPr>
          <w:p w14:paraId="31513E68"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14D3DB53"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E91CAD5" w14:textId="40383B66"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5A1F1263" w14:textId="16AA2A0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0.118</w:t>
            </w:r>
            <w:r w:rsidRPr="00074369">
              <w:rPr>
                <w:rFonts w:asciiTheme="minorHAnsi" w:hAnsiTheme="minorHAnsi" w:cstheme="minorHAnsi"/>
                <w:szCs w:val="20"/>
                <w:vertAlign w:val="superscript"/>
              </w:rPr>
              <w:t>***</w:t>
            </w:r>
          </w:p>
        </w:tc>
      </w:tr>
      <w:tr w:rsidR="00AF3DD9" w:rsidRPr="00074369"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28FB23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4DB5A766"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4CE3DAB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C4A25BF" w14:textId="191BC7C2"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239701FB" w14:textId="5F1F694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r>
      <w:tr w:rsidR="00AF3DD9" w:rsidRPr="00074369"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3DA8084" w14:textId="55D98626" w:rsidR="00AF3DD9" w:rsidRPr="00074369" w:rsidRDefault="00AF3DD9" w:rsidP="00AF3DD9">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*D.3desp</w:t>
            </w:r>
          </w:p>
        </w:tc>
        <w:tc>
          <w:tcPr>
            <w:tcW w:w="1067" w:type="dxa"/>
            <w:hideMark/>
          </w:tcPr>
          <w:p w14:paraId="30812637"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5A3D2C9"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8DA5BCF" w14:textId="6B6A35B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C00F887" w14:textId="54DE7AE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0.153</w:t>
            </w:r>
            <w:r w:rsidRPr="00074369">
              <w:rPr>
                <w:rFonts w:asciiTheme="minorHAnsi" w:hAnsiTheme="minorHAnsi" w:cstheme="minorHAnsi"/>
                <w:szCs w:val="20"/>
                <w:vertAlign w:val="superscript"/>
              </w:rPr>
              <w:t>***</w:t>
            </w:r>
          </w:p>
        </w:tc>
      </w:tr>
      <w:tr w:rsidR="00AF3DD9" w:rsidRPr="00074369"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C44BD6B"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4238E30"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312728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5C0432A" w14:textId="761D260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BDD7CD9" w14:textId="2BEC652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w:t>
            </w:r>
          </w:p>
        </w:tc>
      </w:tr>
      <w:tr w:rsidR="00AF3DD9" w:rsidRPr="00074369"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2B5554B7" w14:textId="79D7B69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067" w:type="dxa"/>
            <w:hideMark/>
          </w:tcPr>
          <w:p w14:paraId="039FC3CE" w14:textId="04C8C0B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10.808</w:t>
            </w:r>
            <w:r w:rsidRPr="00074369">
              <w:rPr>
                <w:rFonts w:asciiTheme="minorHAnsi" w:hAnsiTheme="minorHAnsi" w:cstheme="minorHAnsi"/>
                <w:szCs w:val="20"/>
                <w:vertAlign w:val="superscript"/>
              </w:rPr>
              <w:t>***</w:t>
            </w:r>
          </w:p>
        </w:tc>
        <w:tc>
          <w:tcPr>
            <w:tcW w:w="1467" w:type="dxa"/>
            <w:hideMark/>
          </w:tcPr>
          <w:p w14:paraId="232768B7" w14:textId="2495C9D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9.949</w:t>
            </w:r>
            <w:r w:rsidRPr="00074369">
              <w:rPr>
                <w:rFonts w:asciiTheme="minorHAnsi" w:hAnsiTheme="minorHAnsi" w:cstheme="minorHAnsi"/>
                <w:szCs w:val="20"/>
                <w:vertAlign w:val="superscript"/>
              </w:rPr>
              <w:t>***</w:t>
            </w:r>
          </w:p>
        </w:tc>
        <w:tc>
          <w:tcPr>
            <w:tcW w:w="1467" w:type="dxa"/>
            <w:hideMark/>
          </w:tcPr>
          <w:p w14:paraId="39E8F4C5" w14:textId="03803F7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8.842</w:t>
            </w:r>
            <w:r w:rsidRPr="00074369">
              <w:rPr>
                <w:rFonts w:asciiTheme="minorHAnsi" w:hAnsiTheme="minorHAnsi" w:cstheme="minorHAnsi"/>
                <w:szCs w:val="20"/>
                <w:vertAlign w:val="superscript"/>
              </w:rPr>
              <w:t>***</w:t>
            </w:r>
          </w:p>
        </w:tc>
        <w:tc>
          <w:tcPr>
            <w:tcW w:w="1468" w:type="dxa"/>
            <w:hideMark/>
          </w:tcPr>
          <w:p w14:paraId="3902FD90" w14:textId="19938ADE"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8.843</w:t>
            </w:r>
            <w:r w:rsidRPr="00074369">
              <w:rPr>
                <w:rFonts w:asciiTheme="minorHAnsi" w:hAnsiTheme="minorHAnsi" w:cstheme="minorHAnsi"/>
                <w:szCs w:val="20"/>
                <w:vertAlign w:val="superscript"/>
              </w:rPr>
              <w:t>***</w:t>
            </w:r>
          </w:p>
        </w:tc>
      </w:tr>
      <w:tr w:rsidR="00AF3DD9" w:rsidRPr="00074369"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BD9BE0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7B5D1CD0" w14:textId="4C431D6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w:t>
            </w:r>
          </w:p>
        </w:tc>
        <w:tc>
          <w:tcPr>
            <w:tcW w:w="1467" w:type="dxa"/>
            <w:hideMark/>
          </w:tcPr>
          <w:p w14:paraId="3E274FD3" w14:textId="45CC89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w:t>
            </w:r>
          </w:p>
        </w:tc>
        <w:tc>
          <w:tcPr>
            <w:tcW w:w="1467" w:type="dxa"/>
            <w:hideMark/>
          </w:tcPr>
          <w:p w14:paraId="052E19AA" w14:textId="5963872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(0.537)</w:t>
            </w:r>
          </w:p>
        </w:tc>
        <w:tc>
          <w:tcPr>
            <w:tcW w:w="1468" w:type="dxa"/>
            <w:hideMark/>
          </w:tcPr>
          <w:p w14:paraId="549B3139" w14:textId="11FE248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(0.538)</w:t>
            </w:r>
          </w:p>
        </w:tc>
      </w:tr>
      <w:tr w:rsidR="00AF3DD9" w:rsidRPr="00074369"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77D67CA2" w14:textId="0005D163" w:rsidR="00AF3DD9" w:rsidRPr="00074369" w:rsidRDefault="00AF3DD9" w:rsidP="00AF3DD9">
            <w:pPr>
              <w:spacing w:after="0" w:line="240" w:lineRule="auto"/>
              <w:jc w:val="left"/>
              <w:rPr>
                <w:rFonts w:cstheme="minorHAnsi"/>
                <w:szCs w:val="20"/>
              </w:rPr>
            </w:pPr>
            <w:r w:rsidRPr="00074369">
              <w:rPr>
                <w:rFonts w:cstheme="minorHAnsi"/>
                <w:szCs w:val="20"/>
              </w:rPr>
              <w:t>Efectos fijos por mes</w:t>
            </w:r>
          </w:p>
        </w:tc>
        <w:tc>
          <w:tcPr>
            <w:tcW w:w="1067" w:type="dxa"/>
          </w:tcPr>
          <w:p w14:paraId="7A784F91" w14:textId="13E5E129"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749167E2" w14:textId="31BDA01E"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094B2CD6" w14:textId="6E90AF71"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2403B83B" w14:textId="228621BE"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69F4B19E" w14:textId="786E2059" w:rsidR="00AF3DD9" w:rsidRPr="00074369" w:rsidRDefault="00AF3DD9" w:rsidP="00AF3DD9">
            <w:pPr>
              <w:spacing w:after="0" w:line="240" w:lineRule="auto"/>
              <w:jc w:val="left"/>
              <w:rPr>
                <w:rFonts w:cstheme="minorHAnsi"/>
                <w:szCs w:val="20"/>
              </w:rPr>
            </w:pPr>
            <w:r w:rsidRPr="00074369">
              <w:rPr>
                <w:rFonts w:cstheme="minorHAnsi"/>
                <w:szCs w:val="20"/>
              </w:rPr>
              <w:t>Efectos fijos por distrito</w:t>
            </w:r>
          </w:p>
        </w:tc>
        <w:tc>
          <w:tcPr>
            <w:tcW w:w="1067" w:type="dxa"/>
          </w:tcPr>
          <w:p w14:paraId="6B4EF6C7" w14:textId="1638AD7E"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4F5E1E36" w14:textId="5B6A8926"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68B9E970" w14:textId="0E036209"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F3D5623" w14:textId="1853D229"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4DC29DAE" w14:textId="314053BF" w:rsidR="00AF3DD9" w:rsidRPr="00074369" w:rsidRDefault="00AF3DD9" w:rsidP="00AF3DD9">
            <w:pPr>
              <w:spacing w:after="0" w:line="240" w:lineRule="auto"/>
              <w:jc w:val="left"/>
              <w:rPr>
                <w:rFonts w:cstheme="minorHAnsi"/>
                <w:szCs w:val="20"/>
              </w:rPr>
            </w:pPr>
            <w:r w:rsidRPr="00074369">
              <w:rPr>
                <w:rFonts w:cstheme="minorHAnsi"/>
                <w:szCs w:val="20"/>
              </w:rPr>
              <w:t>Variables de control</w:t>
            </w:r>
          </w:p>
        </w:tc>
        <w:tc>
          <w:tcPr>
            <w:tcW w:w="1067" w:type="dxa"/>
          </w:tcPr>
          <w:p w14:paraId="3E27F65A" w14:textId="71EEEDE4"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1E22A1E1" w14:textId="7ADBC933"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31A8FDA5" w14:textId="467554CC"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B1772AA" w14:textId="5CBCD80F"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004109" w14:textId="59DE0ED4"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067" w:type="dxa"/>
            <w:hideMark/>
          </w:tcPr>
          <w:p w14:paraId="3ECBD9A0" w14:textId="75C8AE3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D68A36C" w14:textId="2ED0F3F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25226F9" w14:textId="0A4EB85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44ADF5E6" w14:textId="61DC763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AF3DD9" w:rsidRPr="00074369"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3C352B0" w14:textId="2A33583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067" w:type="dxa"/>
            <w:hideMark/>
          </w:tcPr>
          <w:p w14:paraId="57482292" w14:textId="1938FB4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56325D1" w14:textId="184F5A9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47AE702F" w14:textId="065D85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0A1289D4" w14:textId="4CDB524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AF3DD9" w:rsidRPr="00074369"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3D02C8" w14:textId="16AC499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067" w:type="dxa"/>
            <w:hideMark/>
          </w:tcPr>
          <w:p w14:paraId="59A09629" w14:textId="24AEF23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0AD8521" w14:textId="43EAA4C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1BD8FB7D" w14:textId="21B7FAE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6E349C3C" w14:textId="2A213C4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AF3DD9" w:rsidRPr="00074369"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12" w:space="0" w:color="auto"/>
            </w:tcBorders>
            <w:hideMark/>
          </w:tcPr>
          <w:p w14:paraId="78BE3DB1"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tcBorders>
              <w:bottom w:val="single" w:sz="12" w:space="0" w:color="auto"/>
            </w:tcBorders>
            <w:hideMark/>
          </w:tcPr>
          <w:p w14:paraId="3551B2C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A4533E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BE5A937" w14:textId="77777777" w:rsidR="00AF3DD9" w:rsidRPr="00074369" w:rsidRDefault="00AF3DD9" w:rsidP="00AF3DD9">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6499A3EE" w14:textId="77777777"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tcBorders>
            <w:hideMark/>
          </w:tcPr>
          <w:p w14:paraId="15C2023D" w14:textId="77777777"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rPr>
              <w:t>Notas:</w:t>
            </w:r>
          </w:p>
          <w:p w14:paraId="4ED25812" w14:textId="76898BB8"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6730EFF5" w14:textId="77777777" w:rsidR="00AF3DD9" w:rsidRPr="00074369" w:rsidRDefault="00AF3DD9"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Los errores estándares </w:t>
            </w:r>
            <w:proofErr w:type="spellStart"/>
            <w:r w:rsidRPr="00074369">
              <w:rPr>
                <w:rFonts w:asciiTheme="minorHAnsi" w:hAnsiTheme="minorHAnsi" w:cstheme="minorHAnsi"/>
                <w:szCs w:val="20"/>
              </w:rPr>
              <w:t>clusterizados</w:t>
            </w:r>
            <w:proofErr w:type="spellEnd"/>
            <w:r w:rsidRPr="00074369">
              <w:rPr>
                <w:rFonts w:asciiTheme="minorHAnsi" w:hAnsiTheme="minorHAnsi" w:cstheme="minorHAnsi"/>
                <w:szCs w:val="20"/>
              </w:rPr>
              <w:t xml:space="preserve"> por estación se muestran entre paréntesis.</w:t>
            </w:r>
          </w:p>
          <w:p w14:paraId="79DE745D" w14:textId="7387487B"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25DA092B" w14:textId="77777777"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118CDFA4" w14:textId="1FA53C7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56D69E08" w14:textId="788601D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p w14:paraId="260AEC4A" w14:textId="128D9873" w:rsidR="000B3D47" w:rsidRPr="00074369" w:rsidRDefault="00384D7C" w:rsidP="00F86336">
            <w:pPr>
              <w:pStyle w:val="Fuente"/>
              <w:keepNext w:val="0"/>
            </w:pPr>
            <w:r w:rsidRPr="00074369">
              <w:t>Fuente: Elaboración propia, 2019</w:t>
            </w:r>
          </w:p>
        </w:tc>
      </w:tr>
    </w:tbl>
    <w:p w14:paraId="0E95B760" w14:textId="39831279" w:rsidR="00C25AB5" w:rsidRDefault="00C25AB5" w:rsidP="00C25AB5">
      <w:bookmarkStart w:id="185" w:name="_Ref8911513"/>
      <w:bookmarkStart w:id="186" w:name="_Toc9171796"/>
      <w:r w:rsidRPr="00074369">
        <w:t xml:space="preserve">En ambos casos, se encuentra un aumento significativo de los precios del diésel y </w:t>
      </w:r>
      <w:proofErr w:type="spellStart"/>
      <w:r w:rsidRPr="00074369">
        <w:t>gasohol</w:t>
      </w:r>
      <w:proofErr w:type="spellEnd"/>
      <w:r w:rsidRPr="00074369">
        <w:t xml:space="preserve"> 90 para las estaciones adquiridas, siendo mayor para el </w:t>
      </w:r>
      <w:proofErr w:type="spellStart"/>
      <w:r w:rsidRPr="00074369">
        <w:t>gasohol</w:t>
      </w:r>
      <w:proofErr w:type="spellEnd"/>
      <w:r w:rsidRPr="00074369">
        <w:t xml:space="preserve"> 90. Estos resultados concuerdan con lo observado en el </w:t>
      </w:r>
      <w:r w:rsidRPr="00074369">
        <w:fldChar w:fldCharType="begin"/>
      </w:r>
      <w:r w:rsidRPr="00074369">
        <w:instrText xml:space="preserve"> REF _Ref6247871 \h </w:instrText>
      </w:r>
      <w:r w:rsidRPr="00074369">
        <w:fldChar w:fldCharType="separate"/>
      </w:r>
      <w:r w:rsidR="004C0429" w:rsidRPr="00074369">
        <w:t xml:space="preserve">Gráfico </w:t>
      </w:r>
      <w:r w:rsidR="004C0429">
        <w:rPr>
          <w:noProof/>
        </w:rPr>
        <w:t>4</w:t>
      </w:r>
      <w:r w:rsidRPr="00074369">
        <w:fldChar w:fldCharType="end"/>
      </w:r>
      <w:r w:rsidRPr="00074369">
        <w:t xml:space="preserve">, en los que el precio de </w:t>
      </w:r>
      <w:proofErr w:type="spellStart"/>
      <w:r w:rsidRPr="00074369">
        <w:t>gasohol</w:t>
      </w:r>
      <w:proofErr w:type="spellEnd"/>
      <w:r w:rsidRPr="00074369">
        <w:t xml:space="preserve"> 90 de Pecsa tenían un precio similar a las estaciones independientes, y luego de la adquisición se encuentra por encima. De manera 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w:t>
      </w:r>
      <w:r>
        <w:t>s independientes o abanderadas.</w:t>
      </w:r>
    </w:p>
    <w:p w14:paraId="1F8EC49B" w14:textId="437CBAC2" w:rsidR="00400240" w:rsidRPr="00074369" w:rsidRDefault="00400240" w:rsidP="00400240">
      <w:pPr>
        <w:pStyle w:val="Descripcin"/>
      </w:pPr>
      <w:bookmarkStart w:id="187" w:name="_Ref11596066"/>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7</w:t>
      </w:r>
      <w:r w:rsidRPr="00074369">
        <w:fldChar w:fldCharType="end"/>
      </w:r>
      <w:bookmarkEnd w:id="185"/>
      <w:bookmarkEnd w:id="187"/>
      <w:r w:rsidRPr="00074369">
        <w:t xml:space="preserve">: Cambio en precio de </w:t>
      </w:r>
      <w:proofErr w:type="spellStart"/>
      <w:r w:rsidRPr="00074369">
        <w:t>gasohol</w:t>
      </w:r>
      <w:proofErr w:type="spellEnd"/>
      <w:r w:rsidRPr="00074369">
        <w:t xml:space="preserve">  90 para estaciones adquiridas</w:t>
      </w:r>
      <w:bookmarkEnd w:id="186"/>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074369"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8954FF4" w14:textId="77777777" w:rsidR="00901D11" w:rsidRPr="00074369" w:rsidRDefault="00901D11"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32923ED"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7C53FE3B"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3D4D140C"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5106D884"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C31C4C" w:rsidRPr="00074369"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214D77B9" w14:textId="77777777"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Dum.Comprada</w:t>
            </w:r>
            <w:proofErr w:type="spellEnd"/>
          </w:p>
        </w:tc>
        <w:tc>
          <w:tcPr>
            <w:tcW w:w="1467" w:type="dxa"/>
            <w:tcBorders>
              <w:top w:val="single" w:sz="4" w:space="0" w:color="auto"/>
            </w:tcBorders>
            <w:vAlign w:val="center"/>
            <w:hideMark/>
          </w:tcPr>
          <w:p w14:paraId="33F6B6BF" w14:textId="7211AA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-0.275</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1ACD7C41" w14:textId="6092677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-0.328</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58248C4C" w14:textId="54BFE2D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-0.009</w:t>
            </w:r>
          </w:p>
        </w:tc>
        <w:tc>
          <w:tcPr>
            <w:tcW w:w="1468" w:type="dxa"/>
            <w:tcBorders>
              <w:top w:val="single" w:sz="4" w:space="0" w:color="auto"/>
            </w:tcBorders>
            <w:vAlign w:val="center"/>
            <w:hideMark/>
          </w:tcPr>
          <w:p w14:paraId="0D2732C7" w14:textId="77D3370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r>
      <w:tr w:rsidR="00C31C4C" w:rsidRPr="00074369"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163E36"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5C5D7761" w14:textId="3BE61F2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c>
          <w:tcPr>
            <w:tcW w:w="1467" w:type="dxa"/>
            <w:vAlign w:val="center"/>
            <w:hideMark/>
          </w:tcPr>
          <w:p w14:paraId="08B9B54F" w14:textId="6D134FE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(0.062)</w:t>
            </w:r>
          </w:p>
        </w:tc>
        <w:tc>
          <w:tcPr>
            <w:tcW w:w="1467" w:type="dxa"/>
            <w:vAlign w:val="center"/>
            <w:hideMark/>
          </w:tcPr>
          <w:p w14:paraId="576D4ED8" w14:textId="51FD6B6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(0.065)</w:t>
            </w:r>
          </w:p>
        </w:tc>
        <w:tc>
          <w:tcPr>
            <w:tcW w:w="1468" w:type="dxa"/>
            <w:vAlign w:val="center"/>
            <w:hideMark/>
          </w:tcPr>
          <w:p w14:paraId="1776A8AF" w14:textId="1B585A6F"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r>
      <w:tr w:rsidR="00C31C4C" w:rsidRPr="00074369"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BD356B" w14:textId="77777777"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Dum.FechaCompra</w:t>
            </w:r>
            <w:proofErr w:type="spellEnd"/>
          </w:p>
        </w:tc>
        <w:tc>
          <w:tcPr>
            <w:tcW w:w="1467" w:type="dxa"/>
            <w:vAlign w:val="center"/>
            <w:hideMark/>
          </w:tcPr>
          <w:p w14:paraId="72B70284" w14:textId="295EBF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0.801</w:t>
            </w:r>
            <w:r w:rsidRPr="00074369">
              <w:rPr>
                <w:rFonts w:ascii="Times New Roman" w:hAnsi="Times New Roman"/>
                <w:szCs w:val="20"/>
                <w:vertAlign w:val="superscript"/>
              </w:rPr>
              <w:t>***</w:t>
            </w:r>
          </w:p>
        </w:tc>
        <w:tc>
          <w:tcPr>
            <w:tcW w:w="1467" w:type="dxa"/>
            <w:vAlign w:val="center"/>
            <w:hideMark/>
          </w:tcPr>
          <w:p w14:paraId="71E86814" w14:textId="410A8B1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1.832</w:t>
            </w:r>
            <w:r w:rsidRPr="00074369">
              <w:rPr>
                <w:rFonts w:ascii="Times New Roman" w:hAnsi="Times New Roman"/>
                <w:szCs w:val="20"/>
                <w:vertAlign w:val="superscript"/>
              </w:rPr>
              <w:t>***</w:t>
            </w:r>
          </w:p>
        </w:tc>
        <w:tc>
          <w:tcPr>
            <w:tcW w:w="1467" w:type="dxa"/>
            <w:vAlign w:val="center"/>
            <w:hideMark/>
          </w:tcPr>
          <w:p w14:paraId="7BEDB748" w14:textId="0A0BDFD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1.840</w:t>
            </w:r>
            <w:r w:rsidRPr="00074369">
              <w:rPr>
                <w:rFonts w:ascii="Times New Roman" w:hAnsi="Times New Roman"/>
                <w:szCs w:val="20"/>
                <w:vertAlign w:val="superscript"/>
              </w:rPr>
              <w:t>***</w:t>
            </w:r>
          </w:p>
        </w:tc>
        <w:tc>
          <w:tcPr>
            <w:tcW w:w="1468" w:type="dxa"/>
            <w:vAlign w:val="center"/>
            <w:hideMark/>
          </w:tcPr>
          <w:p w14:paraId="699D3446"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757EE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D92720F" w14:textId="05C56308"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362E72E1" w14:textId="1F0482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7" w:type="dxa"/>
            <w:vAlign w:val="center"/>
            <w:hideMark/>
          </w:tcPr>
          <w:p w14:paraId="2EF9FBE1" w14:textId="747A55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8" w:type="dxa"/>
            <w:vAlign w:val="center"/>
            <w:hideMark/>
          </w:tcPr>
          <w:p w14:paraId="4740ADEC"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65C8064D" w14:textId="5CF54FEF"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w:t>
            </w:r>
            <w:proofErr w:type="spellStart"/>
            <w:r w:rsidRPr="00074369">
              <w:rPr>
                <w:rFonts w:asciiTheme="minorHAnsi" w:hAnsiTheme="minorHAnsi" w:cstheme="minorHAnsi"/>
                <w:szCs w:val="20"/>
              </w:rPr>
              <w:t>D.FechaCompra</w:t>
            </w:r>
            <w:proofErr w:type="spellEnd"/>
          </w:p>
        </w:tc>
        <w:tc>
          <w:tcPr>
            <w:tcW w:w="1467" w:type="dxa"/>
            <w:vAlign w:val="center"/>
            <w:hideMark/>
          </w:tcPr>
          <w:p w14:paraId="45A69C00" w14:textId="2DF49A8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23BB98A6" w14:textId="1BD7F4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6EDBDA50" w14:textId="46C5B7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0.136</w:t>
            </w:r>
            <w:r w:rsidRPr="00074369">
              <w:rPr>
                <w:rFonts w:ascii="Times New Roman" w:hAnsi="Times New Roman"/>
                <w:szCs w:val="20"/>
                <w:vertAlign w:val="superscript"/>
              </w:rPr>
              <w:t>**</w:t>
            </w:r>
          </w:p>
        </w:tc>
        <w:tc>
          <w:tcPr>
            <w:tcW w:w="1468" w:type="dxa"/>
            <w:vAlign w:val="center"/>
          </w:tcPr>
          <w:p w14:paraId="0353303E" w14:textId="7FF37C4B"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0D593DD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3A67191" w14:textId="2A223EE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135FA94F" w14:textId="7ED5071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57EF092D" w14:textId="4D7D633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(0.054)</w:t>
            </w:r>
          </w:p>
        </w:tc>
        <w:tc>
          <w:tcPr>
            <w:tcW w:w="1468" w:type="dxa"/>
            <w:vAlign w:val="center"/>
          </w:tcPr>
          <w:p w14:paraId="083FD626" w14:textId="3AF439CA"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221779F" w14:textId="7B980D58"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 D.1antes</w:t>
            </w:r>
          </w:p>
        </w:tc>
        <w:tc>
          <w:tcPr>
            <w:tcW w:w="1467" w:type="dxa"/>
            <w:vAlign w:val="center"/>
          </w:tcPr>
          <w:p w14:paraId="28F6D26C"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FF353E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4E67027"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27695A9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9310745"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tcPr>
          <w:p w14:paraId="08F0B192"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4D8D6CE"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DB5491E"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0EC2EB2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F3AC5D6" w14:textId="4D5F7282"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*D.1desp</w:t>
            </w:r>
          </w:p>
        </w:tc>
        <w:tc>
          <w:tcPr>
            <w:tcW w:w="1467" w:type="dxa"/>
            <w:vAlign w:val="center"/>
            <w:hideMark/>
          </w:tcPr>
          <w:p w14:paraId="3CC49A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D671E59"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80428FA"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32A4E732" w14:textId="46E7B07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0.140</w:t>
            </w:r>
            <w:r w:rsidRPr="00074369">
              <w:rPr>
                <w:rFonts w:ascii="Times New Roman" w:hAnsi="Times New Roman"/>
                <w:szCs w:val="20"/>
                <w:vertAlign w:val="superscript"/>
              </w:rPr>
              <w:t>***</w:t>
            </w:r>
          </w:p>
        </w:tc>
      </w:tr>
      <w:tr w:rsidR="00C31C4C" w:rsidRPr="00074369"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AAAD5A" w14:textId="126569E0"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1BC9465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139B452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6B7C334"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12C86EEC" w14:textId="75DB26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r>
      <w:tr w:rsidR="00C31C4C" w:rsidRPr="00074369"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7130665" w14:textId="45983A9B"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*D.2desp</w:t>
            </w:r>
          </w:p>
        </w:tc>
        <w:tc>
          <w:tcPr>
            <w:tcW w:w="1467" w:type="dxa"/>
            <w:vAlign w:val="center"/>
            <w:hideMark/>
          </w:tcPr>
          <w:p w14:paraId="5FE92B94"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F39B345"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39F2420"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B39B318" w14:textId="239AA6A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0.182</w:t>
            </w:r>
            <w:r w:rsidRPr="00074369">
              <w:rPr>
                <w:rFonts w:ascii="Times New Roman" w:hAnsi="Times New Roman"/>
                <w:szCs w:val="20"/>
                <w:vertAlign w:val="superscript"/>
              </w:rPr>
              <w:t>***</w:t>
            </w:r>
          </w:p>
        </w:tc>
      </w:tr>
      <w:tr w:rsidR="00C31C4C" w:rsidRPr="00074369"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497BDDAD"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2FF411A3"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155613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3808F39"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6032F4E" w14:textId="7CD2F81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(0.069)</w:t>
            </w:r>
          </w:p>
        </w:tc>
      </w:tr>
      <w:tr w:rsidR="00C31C4C" w:rsidRPr="00074369"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D68696" w14:textId="7494FE27" w:rsidR="00C31C4C" w:rsidRPr="00074369" w:rsidRDefault="00C31C4C" w:rsidP="00C31C4C">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D.Comprada</w:t>
            </w:r>
            <w:proofErr w:type="spellEnd"/>
            <w:r w:rsidRPr="00074369">
              <w:rPr>
                <w:rFonts w:asciiTheme="minorHAnsi" w:hAnsiTheme="minorHAnsi" w:cstheme="minorHAnsi"/>
                <w:szCs w:val="20"/>
              </w:rPr>
              <w:t>*D.3desp</w:t>
            </w:r>
          </w:p>
        </w:tc>
        <w:tc>
          <w:tcPr>
            <w:tcW w:w="1467" w:type="dxa"/>
            <w:vAlign w:val="center"/>
            <w:hideMark/>
          </w:tcPr>
          <w:p w14:paraId="0DF5F46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FADA09B"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2F732F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506A698C" w14:textId="3555738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0.130</w:t>
            </w:r>
            <w:r w:rsidRPr="00074369">
              <w:rPr>
                <w:rFonts w:ascii="Times New Roman" w:hAnsi="Times New Roman"/>
                <w:szCs w:val="20"/>
                <w:vertAlign w:val="superscript"/>
              </w:rPr>
              <w:t>*</w:t>
            </w:r>
          </w:p>
        </w:tc>
      </w:tr>
      <w:tr w:rsidR="00C31C4C" w:rsidRPr="00074369"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44BED1A"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6FD3B5D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7F2F5A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EC7FDA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495A1F7F" w14:textId="0921FF0B"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(0.073)</w:t>
            </w:r>
          </w:p>
        </w:tc>
      </w:tr>
      <w:tr w:rsidR="00C31C4C" w:rsidRPr="00074369"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3F809B0" w14:textId="7F0748C6"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5D984EBF" w14:textId="67470FA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11.262</w:t>
            </w:r>
            <w:r w:rsidRPr="00074369">
              <w:rPr>
                <w:rFonts w:ascii="Times New Roman" w:hAnsi="Times New Roman"/>
                <w:szCs w:val="20"/>
                <w:vertAlign w:val="superscript"/>
              </w:rPr>
              <w:t>***</w:t>
            </w:r>
          </w:p>
        </w:tc>
        <w:tc>
          <w:tcPr>
            <w:tcW w:w="1467" w:type="dxa"/>
            <w:vAlign w:val="center"/>
            <w:hideMark/>
          </w:tcPr>
          <w:p w14:paraId="3711DCDD" w14:textId="3EDED2C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10.875</w:t>
            </w:r>
            <w:r w:rsidRPr="00074369">
              <w:rPr>
                <w:rFonts w:ascii="Times New Roman" w:hAnsi="Times New Roman"/>
                <w:szCs w:val="20"/>
                <w:vertAlign w:val="superscript"/>
              </w:rPr>
              <w:t>***</w:t>
            </w:r>
          </w:p>
        </w:tc>
        <w:tc>
          <w:tcPr>
            <w:tcW w:w="1467" w:type="dxa"/>
            <w:vAlign w:val="center"/>
            <w:hideMark/>
          </w:tcPr>
          <w:p w14:paraId="4352DE34" w14:textId="7BF4ED7C"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11.245</w:t>
            </w:r>
            <w:r w:rsidRPr="00074369">
              <w:rPr>
                <w:rFonts w:ascii="Times New Roman" w:hAnsi="Times New Roman"/>
                <w:szCs w:val="20"/>
                <w:vertAlign w:val="superscript"/>
              </w:rPr>
              <w:t>***</w:t>
            </w:r>
          </w:p>
        </w:tc>
        <w:tc>
          <w:tcPr>
            <w:tcW w:w="1468" w:type="dxa"/>
            <w:vAlign w:val="center"/>
            <w:hideMark/>
          </w:tcPr>
          <w:p w14:paraId="5D235B83" w14:textId="1C739BC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11.246</w:t>
            </w:r>
            <w:r w:rsidRPr="00074369">
              <w:rPr>
                <w:rFonts w:ascii="Times New Roman" w:hAnsi="Times New Roman"/>
                <w:szCs w:val="20"/>
                <w:vertAlign w:val="superscript"/>
              </w:rPr>
              <w:t>***</w:t>
            </w:r>
          </w:p>
        </w:tc>
      </w:tr>
      <w:tr w:rsidR="00C31C4C" w:rsidRPr="00074369"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AD7F034"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7926F6AB" w14:textId="0CFEA582"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66D20105" w14:textId="0B674E5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217E033F" w14:textId="1A55D9B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7A4F46F9" w14:textId="61ECF8D5"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C31C4C" w:rsidRPr="00074369"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3CE2EF06"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mes</w:t>
            </w:r>
          </w:p>
        </w:tc>
        <w:tc>
          <w:tcPr>
            <w:tcW w:w="1467" w:type="dxa"/>
          </w:tcPr>
          <w:p w14:paraId="68F87BB7"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1FAF00B6"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17BB08CE"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7D4D93A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59E74BB"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distrito</w:t>
            </w:r>
          </w:p>
        </w:tc>
        <w:tc>
          <w:tcPr>
            <w:tcW w:w="1467" w:type="dxa"/>
          </w:tcPr>
          <w:p w14:paraId="3AF103B3"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4B27B4BB"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4D4D477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28BAAE44"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7B6F9866" w14:textId="77777777" w:rsidR="00C31C4C" w:rsidRPr="00074369" w:rsidRDefault="00C31C4C" w:rsidP="00C31C4C">
            <w:pPr>
              <w:spacing w:after="0" w:line="240" w:lineRule="auto"/>
              <w:jc w:val="left"/>
              <w:rPr>
                <w:rFonts w:cstheme="minorHAnsi"/>
                <w:szCs w:val="20"/>
              </w:rPr>
            </w:pPr>
            <w:r w:rsidRPr="00074369">
              <w:rPr>
                <w:rFonts w:cstheme="minorHAnsi"/>
                <w:szCs w:val="20"/>
              </w:rPr>
              <w:t>Variables de control</w:t>
            </w:r>
          </w:p>
        </w:tc>
        <w:tc>
          <w:tcPr>
            <w:tcW w:w="1467" w:type="dxa"/>
          </w:tcPr>
          <w:p w14:paraId="0336866E"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5DCFE9B9"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0C464E28"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003106E3"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C9B1C16"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hideMark/>
          </w:tcPr>
          <w:p w14:paraId="25914EFC"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528FEEF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76CF5644"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0B2D550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C31C4C" w:rsidRPr="00074369"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9AF47E"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hideMark/>
          </w:tcPr>
          <w:p w14:paraId="40A263F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0E1943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58FF85C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5DBCED6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C31C4C" w:rsidRPr="00074369"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2C6EDED"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hideMark/>
          </w:tcPr>
          <w:p w14:paraId="14A2778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7D0A5D3"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5A766E6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0C778FE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C31C4C" w:rsidRPr="00074369"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6E6871"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3A9A6EC"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6E7566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28E93FBF"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73F4BBF"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tcBorders>
            <w:hideMark/>
          </w:tcPr>
          <w:p w14:paraId="0A6DC878"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rPr>
              <w:t>Notas:</w:t>
            </w:r>
          </w:p>
          <w:p w14:paraId="30B06C33"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607FB0D" w14:textId="77777777" w:rsidR="00C31C4C" w:rsidRPr="00074369" w:rsidRDefault="00C31C4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Los errores estándares </w:t>
            </w:r>
            <w:proofErr w:type="spellStart"/>
            <w:r w:rsidRPr="00074369">
              <w:rPr>
                <w:rFonts w:asciiTheme="minorHAnsi" w:hAnsiTheme="minorHAnsi" w:cstheme="minorHAnsi"/>
                <w:szCs w:val="20"/>
              </w:rPr>
              <w:t>clusterizados</w:t>
            </w:r>
            <w:proofErr w:type="spellEnd"/>
            <w:r w:rsidRPr="00074369">
              <w:rPr>
                <w:rFonts w:asciiTheme="minorHAnsi" w:hAnsiTheme="minorHAnsi" w:cstheme="minorHAnsi"/>
                <w:szCs w:val="20"/>
              </w:rPr>
              <w:t xml:space="preserve"> por estación se muestran entre paréntesis.</w:t>
            </w:r>
          </w:p>
          <w:p w14:paraId="711667CF"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039971C1"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30ADAED7"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7B33BABD" w14:textId="0FE8831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tc>
      </w:tr>
    </w:tbl>
    <w:p w14:paraId="319BCD13" w14:textId="2092F25B" w:rsidR="00384D7C" w:rsidRPr="00074369" w:rsidRDefault="00384D7C" w:rsidP="00384D7C">
      <w:pPr>
        <w:pStyle w:val="Fuente"/>
      </w:pPr>
      <w:r w:rsidRPr="00074369">
        <w:t>Fuente: Elaboración propia, 2019</w:t>
      </w:r>
    </w:p>
    <w:p w14:paraId="220B1AD1" w14:textId="2821517F" w:rsidR="008062E5" w:rsidRPr="00074369" w:rsidRDefault="007416B1" w:rsidP="000E17B3">
      <w:pPr>
        <w:pStyle w:val="Ttulo3"/>
      </w:pPr>
      <w:bookmarkStart w:id="188" w:name="_Toc11179121"/>
      <w:r w:rsidRPr="00074369">
        <w:t>Efecto de la adquisición sobre los precios de estaciones vecinas</w:t>
      </w:r>
      <w:bookmarkEnd w:id="188"/>
    </w:p>
    <w:p w14:paraId="5769737A" w14:textId="4955ECE1" w:rsidR="00925059" w:rsidRPr="00074369" w:rsidRDefault="00433136" w:rsidP="00925059">
      <w:r w:rsidRPr="00074369">
        <w:t xml:space="preserve">Habiendo encontrando un aumento en los </w:t>
      </w:r>
      <w:r w:rsidR="001463C8" w:rsidRPr="00074369">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rsidRPr="00074369">
        <w:t xml:space="preserve">La </w:t>
      </w:r>
      <w:r w:rsidR="0099309D">
        <w:t xml:space="preserve">tabla </w:t>
      </w:r>
      <w:r w:rsidR="005D3ED6" w:rsidRPr="00074369">
        <w:fldChar w:fldCharType="begin"/>
      </w:r>
      <w:r w:rsidR="005D3ED6" w:rsidRPr="00074369">
        <w:instrText xml:space="preserve"> REF _Ref8916354 </w:instrText>
      </w:r>
      <w:r w:rsidR="0099309D" w:rsidRPr="0099309D">
        <w:instrText>\# 0</w:instrText>
      </w:r>
      <w:r w:rsidR="0099309D">
        <w:instrText xml:space="preserve"> </w:instrText>
      </w:r>
      <w:r w:rsidR="005D3ED6" w:rsidRPr="00074369">
        <w:instrText xml:space="preserve">\h </w:instrText>
      </w:r>
      <w:r w:rsidR="005D3ED6" w:rsidRPr="00074369">
        <w:fldChar w:fldCharType="separate"/>
      </w:r>
      <w:r w:rsidR="004C0429">
        <w:t>8</w:t>
      </w:r>
      <w:r w:rsidR="005D3ED6" w:rsidRPr="00074369">
        <w:fldChar w:fldCharType="end"/>
      </w:r>
      <w:r w:rsidR="004C28C9" w:rsidRPr="00074369">
        <w:t xml:space="preserve"> reporta los resultados de la especificación mostrada en la ecuación (</w:t>
      </w:r>
      <w:r w:rsidR="004C28C9" w:rsidRPr="00074369">
        <w:fldChar w:fldCharType="begin"/>
      </w:r>
      <w:r w:rsidR="004C28C9" w:rsidRPr="00074369">
        <w:instrText xml:space="preserve"> REF vecino_esp \h </w:instrText>
      </w:r>
      <w:r w:rsidR="004C28C9" w:rsidRPr="00074369">
        <w:fldChar w:fldCharType="separate"/>
      </w:r>
      <m:oMath>
        <m:r>
          <m:rPr>
            <m:sty m:val="p"/>
          </m:rPr>
          <w:rPr>
            <w:rFonts w:ascii="Cambria Math" w:hAnsi="Cambria Math"/>
            <w:noProof/>
          </w:rPr>
          <m:t>2</m:t>
        </m:r>
      </m:oMath>
      <w:r w:rsidR="004C28C9" w:rsidRPr="00074369">
        <w:fldChar w:fldCharType="end"/>
      </w:r>
      <w:r w:rsidR="004C28C9" w:rsidRPr="00074369">
        <w:t>)</w:t>
      </w:r>
      <w:r w:rsidR="008A7EA7" w:rsidRPr="00074369">
        <w:t xml:space="preserve"> para el precio de diésel en las estaciones vecinas a las adquiridas. En este caso, los resultados no son tan claros, obteniendo</w:t>
      </w:r>
      <w:r w:rsidR="0099309D">
        <w:t xml:space="preserve"> un aumento significativo de </w:t>
      </w:r>
      <w:r w:rsidR="008A7EA7" w:rsidRPr="00074369">
        <w:t>5 centavos solo luego de controlar por características observables de las estaciones. Nuevamente, en los trimestres previos al tratamiento no se encuentran valores significativos distintos a cero</w:t>
      </w:r>
      <w:r w:rsidR="00ED6EE8" w:rsidRPr="00074369">
        <w:t>.</w:t>
      </w:r>
      <w:r w:rsidR="008A7EA7" w:rsidRPr="00074369">
        <w:t xml:space="preserve"> </w:t>
      </w:r>
    </w:p>
    <w:p w14:paraId="693358D9" w14:textId="45C2F3A6" w:rsidR="00E53805" w:rsidRPr="00074369" w:rsidRDefault="00E53805" w:rsidP="00E53805">
      <w:pPr>
        <w:pStyle w:val="Descripcin"/>
        <w:keepLines/>
      </w:pPr>
      <w:bookmarkStart w:id="189" w:name="_Ref8916354"/>
      <w:bookmarkStart w:id="190" w:name="_Toc9171797"/>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8</w:t>
      </w:r>
      <w:r w:rsidRPr="00074369">
        <w:fldChar w:fldCharType="end"/>
      </w:r>
      <w:bookmarkEnd w:id="189"/>
      <w:r w:rsidRPr="00074369">
        <w:t>: Cambio en precio de diésel para estaciones vecinas a estaciones adquiridas</w:t>
      </w:r>
      <w:bookmarkEnd w:id="190"/>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074369"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581E254"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2D47B2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4C8510F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7E9658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FE86E3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E53805" w:rsidRPr="00074369"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6D7DD13E"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Dum.Vecino</w:t>
            </w:r>
            <w:proofErr w:type="spellEnd"/>
          </w:p>
        </w:tc>
        <w:tc>
          <w:tcPr>
            <w:tcW w:w="1467" w:type="dxa"/>
            <w:tcBorders>
              <w:top w:val="single" w:sz="4" w:space="0" w:color="auto"/>
            </w:tcBorders>
            <w:vAlign w:val="center"/>
            <w:hideMark/>
          </w:tcPr>
          <w:p w14:paraId="0ED11BC8"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0.161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07237CA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0.0001</w:t>
            </w:r>
          </w:p>
        </w:tc>
        <w:tc>
          <w:tcPr>
            <w:tcW w:w="1467" w:type="dxa"/>
            <w:tcBorders>
              <w:top w:val="single" w:sz="4" w:space="0" w:color="auto"/>
            </w:tcBorders>
            <w:vAlign w:val="center"/>
            <w:hideMark/>
          </w:tcPr>
          <w:p w14:paraId="7771166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c>
          <w:tcPr>
            <w:tcW w:w="1468" w:type="dxa"/>
            <w:tcBorders>
              <w:top w:val="single" w:sz="4" w:space="0" w:color="auto"/>
            </w:tcBorders>
            <w:vAlign w:val="center"/>
            <w:hideMark/>
          </w:tcPr>
          <w:p w14:paraId="48769A6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-0.044</w:t>
            </w:r>
          </w:p>
        </w:tc>
      </w:tr>
      <w:tr w:rsidR="00E53805" w:rsidRPr="00074369"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AA36B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1018F7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63EB01D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(0.046)</w:t>
            </w:r>
          </w:p>
        </w:tc>
        <w:tc>
          <w:tcPr>
            <w:tcW w:w="1467" w:type="dxa"/>
            <w:vAlign w:val="center"/>
            <w:hideMark/>
          </w:tcPr>
          <w:p w14:paraId="49B31F2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77BFDB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(0.045)</w:t>
            </w:r>
          </w:p>
        </w:tc>
      </w:tr>
      <w:tr w:rsidR="00E53805" w:rsidRPr="00074369"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3ED534F"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Dum.FechaCompra</w:t>
            </w:r>
            <w:proofErr w:type="spellEnd"/>
          </w:p>
        </w:tc>
        <w:tc>
          <w:tcPr>
            <w:tcW w:w="1467" w:type="dxa"/>
            <w:vAlign w:val="center"/>
            <w:hideMark/>
          </w:tcPr>
          <w:p w14:paraId="02A1D40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1.167</w:t>
            </w:r>
            <w:r w:rsidRPr="00074369">
              <w:rPr>
                <w:rFonts w:ascii="Times New Roman" w:hAnsi="Times New Roman"/>
                <w:szCs w:val="20"/>
                <w:vertAlign w:val="superscript"/>
              </w:rPr>
              <w:t>***</w:t>
            </w:r>
          </w:p>
        </w:tc>
        <w:tc>
          <w:tcPr>
            <w:tcW w:w="1467" w:type="dxa"/>
            <w:vAlign w:val="center"/>
            <w:hideMark/>
          </w:tcPr>
          <w:p w14:paraId="154F80E3"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2.490</w:t>
            </w:r>
            <w:r w:rsidRPr="00074369">
              <w:rPr>
                <w:rFonts w:ascii="Times New Roman" w:hAnsi="Times New Roman"/>
                <w:szCs w:val="20"/>
                <w:vertAlign w:val="superscript"/>
              </w:rPr>
              <w:t>***</w:t>
            </w:r>
          </w:p>
        </w:tc>
        <w:tc>
          <w:tcPr>
            <w:tcW w:w="1467" w:type="dxa"/>
            <w:vAlign w:val="center"/>
            <w:hideMark/>
          </w:tcPr>
          <w:p w14:paraId="2610395E"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2.494</w:t>
            </w:r>
            <w:r w:rsidRPr="00074369">
              <w:rPr>
                <w:rFonts w:ascii="Times New Roman" w:hAnsi="Times New Roman"/>
                <w:szCs w:val="20"/>
                <w:vertAlign w:val="superscript"/>
              </w:rPr>
              <w:t>***</w:t>
            </w:r>
          </w:p>
        </w:tc>
        <w:tc>
          <w:tcPr>
            <w:tcW w:w="1468" w:type="dxa"/>
            <w:vAlign w:val="center"/>
            <w:hideMark/>
          </w:tcPr>
          <w:p w14:paraId="57759EC4"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4F08B98"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3B281B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0CBBF8A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7" w:type="dxa"/>
            <w:vAlign w:val="center"/>
            <w:hideMark/>
          </w:tcPr>
          <w:p w14:paraId="223DCDF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hideMark/>
          </w:tcPr>
          <w:p w14:paraId="38146822"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B137E51"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w:t>
            </w:r>
            <w:proofErr w:type="spellStart"/>
            <w:r w:rsidRPr="00074369">
              <w:rPr>
                <w:rFonts w:asciiTheme="minorHAnsi" w:hAnsiTheme="minorHAnsi" w:cstheme="minorHAnsi"/>
                <w:szCs w:val="20"/>
              </w:rPr>
              <w:t>D.FechaCompra</w:t>
            </w:r>
            <w:proofErr w:type="spellEnd"/>
          </w:p>
        </w:tc>
        <w:tc>
          <w:tcPr>
            <w:tcW w:w="1467" w:type="dxa"/>
            <w:vAlign w:val="center"/>
            <w:hideMark/>
          </w:tcPr>
          <w:p w14:paraId="45E1D0C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0312591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71F0FDE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0.055</w:t>
            </w:r>
            <w:r w:rsidRPr="00074369">
              <w:rPr>
                <w:rFonts w:ascii="Times New Roman" w:hAnsi="Times New Roman"/>
                <w:szCs w:val="20"/>
                <w:vertAlign w:val="superscript"/>
              </w:rPr>
              <w:t>**</w:t>
            </w:r>
          </w:p>
        </w:tc>
        <w:tc>
          <w:tcPr>
            <w:tcW w:w="1468" w:type="dxa"/>
            <w:vAlign w:val="center"/>
          </w:tcPr>
          <w:p w14:paraId="45488CDD"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53774B2"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2B84AE6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C2361D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46C2B7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tcPr>
          <w:p w14:paraId="14CCA2AB"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DD82190"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 D.1antes</w:t>
            </w:r>
          </w:p>
        </w:tc>
        <w:tc>
          <w:tcPr>
            <w:tcW w:w="1467" w:type="dxa"/>
            <w:vAlign w:val="center"/>
          </w:tcPr>
          <w:p w14:paraId="178C86E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051F191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151164EA"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575920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EFB56D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tcPr>
          <w:p w14:paraId="7B402B1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67C2AE4E"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32A5DE2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0481C4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9E17595"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*D.1desp</w:t>
            </w:r>
          </w:p>
        </w:tc>
        <w:tc>
          <w:tcPr>
            <w:tcW w:w="1467" w:type="dxa"/>
            <w:vAlign w:val="center"/>
            <w:hideMark/>
          </w:tcPr>
          <w:p w14:paraId="5968D20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54E755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4DF77A4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A1B6F3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r w:rsidRPr="00074369">
              <w:rPr>
                <w:rFonts w:ascii="Times New Roman" w:hAnsi="Times New Roman"/>
                <w:szCs w:val="20"/>
                <w:vertAlign w:val="superscript"/>
              </w:rPr>
              <w:t>*</w:t>
            </w:r>
          </w:p>
        </w:tc>
      </w:tr>
      <w:tr w:rsidR="00E53805" w:rsidRPr="00074369"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9E7382E"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466329B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6544CFC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BE43E9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1E42084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(0.026)</w:t>
            </w:r>
          </w:p>
        </w:tc>
      </w:tr>
      <w:tr w:rsidR="00E53805" w:rsidRPr="00074369"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52C04996"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*D.2desp</w:t>
            </w:r>
          </w:p>
        </w:tc>
        <w:tc>
          <w:tcPr>
            <w:tcW w:w="1467" w:type="dxa"/>
            <w:vAlign w:val="center"/>
            <w:hideMark/>
          </w:tcPr>
          <w:p w14:paraId="35D3F38F"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F33764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44DB759"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47F893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0.074</w:t>
            </w:r>
            <w:r w:rsidRPr="00074369">
              <w:rPr>
                <w:rFonts w:ascii="Times New Roman" w:hAnsi="Times New Roman"/>
                <w:szCs w:val="20"/>
                <w:vertAlign w:val="superscript"/>
              </w:rPr>
              <w:t>**</w:t>
            </w:r>
          </w:p>
        </w:tc>
      </w:tr>
      <w:tr w:rsidR="00E53805" w:rsidRPr="00074369"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C0DF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9A0079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0B50A77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3035584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988395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r>
      <w:tr w:rsidR="00E53805" w:rsidRPr="00074369"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B448916" w14:textId="77777777" w:rsidR="00E53805" w:rsidRPr="00074369" w:rsidRDefault="00E53805" w:rsidP="00E53805">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*D.3desp</w:t>
            </w:r>
          </w:p>
        </w:tc>
        <w:tc>
          <w:tcPr>
            <w:tcW w:w="1467" w:type="dxa"/>
            <w:vAlign w:val="center"/>
            <w:hideMark/>
          </w:tcPr>
          <w:p w14:paraId="4F4BE48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D8B49E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539F704C"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6A3E8B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0.077</w:t>
            </w:r>
            <w:r w:rsidRPr="00074369">
              <w:rPr>
                <w:rFonts w:ascii="Times New Roman" w:hAnsi="Times New Roman"/>
                <w:szCs w:val="20"/>
                <w:vertAlign w:val="superscript"/>
              </w:rPr>
              <w:t>**</w:t>
            </w:r>
          </w:p>
        </w:tc>
      </w:tr>
      <w:tr w:rsidR="00E53805" w:rsidRPr="00074369"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750D40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2E3FA3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F032E2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80E791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4E4848E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(0.038)</w:t>
            </w:r>
          </w:p>
        </w:tc>
      </w:tr>
      <w:tr w:rsidR="00E53805" w:rsidRPr="00074369"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15441D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86FD67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10.755</w:t>
            </w:r>
            <w:r w:rsidRPr="00074369">
              <w:rPr>
                <w:rFonts w:ascii="Times New Roman" w:hAnsi="Times New Roman"/>
                <w:szCs w:val="20"/>
                <w:vertAlign w:val="superscript"/>
              </w:rPr>
              <w:t>***</w:t>
            </w:r>
          </w:p>
        </w:tc>
        <w:tc>
          <w:tcPr>
            <w:tcW w:w="1467" w:type="dxa"/>
            <w:vAlign w:val="center"/>
            <w:hideMark/>
          </w:tcPr>
          <w:p w14:paraId="35834D8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9.946</w:t>
            </w:r>
            <w:r w:rsidRPr="00074369">
              <w:rPr>
                <w:rFonts w:ascii="Times New Roman" w:hAnsi="Times New Roman"/>
                <w:szCs w:val="20"/>
                <w:vertAlign w:val="superscript"/>
              </w:rPr>
              <w:t>***</w:t>
            </w:r>
          </w:p>
        </w:tc>
        <w:tc>
          <w:tcPr>
            <w:tcW w:w="1467" w:type="dxa"/>
            <w:vAlign w:val="center"/>
            <w:hideMark/>
          </w:tcPr>
          <w:p w14:paraId="0941F3A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8.841</w:t>
            </w:r>
            <w:r w:rsidRPr="00074369">
              <w:rPr>
                <w:rFonts w:ascii="Times New Roman" w:hAnsi="Times New Roman"/>
                <w:szCs w:val="20"/>
                <w:vertAlign w:val="superscript"/>
              </w:rPr>
              <w:t>***</w:t>
            </w:r>
          </w:p>
        </w:tc>
        <w:tc>
          <w:tcPr>
            <w:tcW w:w="1468" w:type="dxa"/>
            <w:vAlign w:val="center"/>
            <w:hideMark/>
          </w:tcPr>
          <w:p w14:paraId="422D560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8.844</w:t>
            </w:r>
            <w:r w:rsidRPr="00074369">
              <w:rPr>
                <w:rFonts w:ascii="Times New Roman" w:hAnsi="Times New Roman"/>
                <w:szCs w:val="20"/>
                <w:vertAlign w:val="superscript"/>
              </w:rPr>
              <w:t>***</w:t>
            </w:r>
          </w:p>
        </w:tc>
      </w:tr>
      <w:tr w:rsidR="00E53805" w:rsidRPr="00074369"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6406A0C"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10311F0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(0.030)</w:t>
            </w:r>
          </w:p>
        </w:tc>
        <w:tc>
          <w:tcPr>
            <w:tcW w:w="1467" w:type="dxa"/>
            <w:vAlign w:val="center"/>
            <w:hideMark/>
          </w:tcPr>
          <w:p w14:paraId="47814DF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46994D4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c>
          <w:tcPr>
            <w:tcW w:w="1468" w:type="dxa"/>
            <w:vAlign w:val="center"/>
            <w:hideMark/>
          </w:tcPr>
          <w:p w14:paraId="0235A3D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r>
      <w:tr w:rsidR="00E53805" w:rsidRPr="00074369"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3951BDA3"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mes</w:t>
            </w:r>
          </w:p>
        </w:tc>
        <w:tc>
          <w:tcPr>
            <w:tcW w:w="1467" w:type="dxa"/>
          </w:tcPr>
          <w:p w14:paraId="0FE4E963"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BDA46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5FC68D98"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F32F9D3"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408F374B"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distrito</w:t>
            </w:r>
          </w:p>
        </w:tc>
        <w:tc>
          <w:tcPr>
            <w:tcW w:w="1467" w:type="dxa"/>
          </w:tcPr>
          <w:p w14:paraId="51490BDE"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7A591265"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4623A93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611FC55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0BA2FDEC" w14:textId="77777777" w:rsidR="00E53805" w:rsidRPr="00074369" w:rsidRDefault="00E53805" w:rsidP="00E53805">
            <w:pPr>
              <w:spacing w:after="0" w:line="240" w:lineRule="auto"/>
              <w:jc w:val="left"/>
              <w:rPr>
                <w:rFonts w:cstheme="minorHAnsi"/>
                <w:szCs w:val="20"/>
              </w:rPr>
            </w:pPr>
            <w:r w:rsidRPr="00074369">
              <w:rPr>
                <w:rFonts w:cstheme="minorHAnsi"/>
                <w:szCs w:val="20"/>
              </w:rPr>
              <w:t>Variables de control</w:t>
            </w:r>
          </w:p>
        </w:tc>
        <w:tc>
          <w:tcPr>
            <w:tcW w:w="1467" w:type="dxa"/>
          </w:tcPr>
          <w:p w14:paraId="06F3FFFC"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9B01154"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295B8DA"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4E16E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67060CC"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203E236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AE160E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34FCED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27BE11A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E53805" w:rsidRPr="00074369"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8DD6B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717547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3B4CF26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0.780</w:t>
            </w:r>
          </w:p>
        </w:tc>
        <w:tc>
          <w:tcPr>
            <w:tcW w:w="1467" w:type="dxa"/>
            <w:vAlign w:val="center"/>
            <w:hideMark/>
          </w:tcPr>
          <w:p w14:paraId="11FB1E0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c>
          <w:tcPr>
            <w:tcW w:w="1468" w:type="dxa"/>
            <w:vAlign w:val="center"/>
            <w:hideMark/>
          </w:tcPr>
          <w:p w14:paraId="69BB9B2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r>
      <w:tr w:rsidR="00E53805" w:rsidRPr="00074369"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949DA7"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470F44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6C58DF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0.778</w:t>
            </w:r>
          </w:p>
        </w:tc>
        <w:tc>
          <w:tcPr>
            <w:tcW w:w="1467" w:type="dxa"/>
            <w:vAlign w:val="center"/>
            <w:hideMark/>
          </w:tcPr>
          <w:p w14:paraId="287A6E3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c>
          <w:tcPr>
            <w:tcW w:w="1468" w:type="dxa"/>
            <w:vAlign w:val="center"/>
            <w:hideMark/>
          </w:tcPr>
          <w:p w14:paraId="7BE278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r>
      <w:tr w:rsidR="00E53805" w:rsidRPr="00074369"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3587A6C6"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3015DC63"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1B48F5D"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16ECD4F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6B34DC5"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63EBBC9F"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rPr>
              <w:t>Notas:</w:t>
            </w:r>
          </w:p>
          <w:p w14:paraId="65B01852"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FA1E598"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Los errores estándares </w:t>
            </w:r>
            <w:proofErr w:type="spellStart"/>
            <w:r w:rsidRPr="00074369">
              <w:rPr>
                <w:rFonts w:asciiTheme="minorHAnsi" w:hAnsiTheme="minorHAnsi" w:cstheme="minorHAnsi"/>
                <w:szCs w:val="20"/>
              </w:rPr>
              <w:t>clusterizados</w:t>
            </w:r>
            <w:proofErr w:type="spellEnd"/>
            <w:r w:rsidRPr="00074369">
              <w:rPr>
                <w:rFonts w:asciiTheme="minorHAnsi" w:hAnsiTheme="minorHAnsi" w:cstheme="minorHAnsi"/>
                <w:szCs w:val="20"/>
              </w:rPr>
              <w:t xml:space="preserve"> por estación se muestran entre paréntesis.</w:t>
            </w:r>
          </w:p>
        </w:tc>
      </w:tr>
    </w:tbl>
    <w:p w14:paraId="678816DA" w14:textId="6EDEF7F7" w:rsidR="007416B1" w:rsidRPr="00074369" w:rsidRDefault="00276C7A" w:rsidP="00276C7A">
      <w:pPr>
        <w:pStyle w:val="Fuente"/>
      </w:pPr>
      <w:r w:rsidRPr="00074369">
        <w:t>Fuente: Elaboración propia, 2019</w:t>
      </w:r>
    </w:p>
    <w:p w14:paraId="01015150" w14:textId="21A835D0" w:rsidR="009F3871" w:rsidRPr="00074369" w:rsidRDefault="00976D23" w:rsidP="009F3871">
      <w:r w:rsidRPr="00074369">
        <w:t xml:space="preserve">La tabla </w:t>
      </w:r>
      <w:r w:rsidRPr="00074369">
        <w:fldChar w:fldCharType="begin"/>
      </w:r>
      <w:r w:rsidRPr="00074369">
        <w:instrText xml:space="preserve"> REF _Ref8916641 \# 0 \h </w:instrText>
      </w:r>
      <w:r w:rsidRPr="00074369">
        <w:fldChar w:fldCharType="separate"/>
      </w:r>
      <w:r w:rsidR="004C0429">
        <w:t>9</w:t>
      </w:r>
      <w:r w:rsidRPr="00074369">
        <w:fldChar w:fldCharType="end"/>
      </w:r>
      <w:r w:rsidRPr="00074369">
        <w:t xml:space="preserve"> muestra los resultados de la especificación para el cambio de los precios de </w:t>
      </w:r>
      <w:proofErr w:type="spellStart"/>
      <w:r w:rsidRPr="00074369">
        <w:t>gasohol</w:t>
      </w:r>
      <w:proofErr w:type="spellEnd"/>
      <w:r w:rsidRPr="00074369">
        <w:t xml:space="preserve"> 90 en las estaciones vecinas a las adquiridas. A diferencia del diésel, </w:t>
      </w:r>
      <w:r w:rsidR="005D278C" w:rsidRPr="00074369">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rsidRPr="00074369">
        <w:t xml:space="preserve"> </w:t>
      </w:r>
    </w:p>
    <w:p w14:paraId="7ADBA514" w14:textId="4F5ECD23" w:rsidR="00276C7A" w:rsidRPr="00074369" w:rsidRDefault="009F3871" w:rsidP="009F3871">
      <w:r w:rsidRPr="00074369">
        <w:t xml:space="preserve">Estos resultados concuerdan con los obtenidos para el efecto sobre las estaciones compradas, observamos que las estaciones en general logran aumentar más sus precios para el </w:t>
      </w:r>
      <w:proofErr w:type="spellStart"/>
      <w:r w:rsidRPr="00074369">
        <w:t>gasohol</w:t>
      </w:r>
      <w:proofErr w:type="spellEnd"/>
      <w:r w:rsidRPr="00074369">
        <w:t xml:space="preserve">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0B8E3975" w:rsidR="007416B1" w:rsidRPr="00074369" w:rsidRDefault="007416B1" w:rsidP="007416B1">
      <w:pPr>
        <w:pStyle w:val="Descripcin"/>
      </w:pPr>
      <w:bookmarkStart w:id="191" w:name="_Ref8916641"/>
      <w:bookmarkStart w:id="192" w:name="_Ref8916638"/>
      <w:bookmarkStart w:id="193" w:name="_Toc9171798"/>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9</w:t>
      </w:r>
      <w:r w:rsidRPr="00074369">
        <w:fldChar w:fldCharType="end"/>
      </w:r>
      <w:bookmarkEnd w:id="191"/>
      <w:r w:rsidRPr="00074369">
        <w:t xml:space="preserve">: Cambio en precio de </w:t>
      </w:r>
      <w:proofErr w:type="spellStart"/>
      <w:r w:rsidRPr="00074369">
        <w:t>Gasohol</w:t>
      </w:r>
      <w:proofErr w:type="spellEnd"/>
      <w:r w:rsidRPr="00074369">
        <w:t xml:space="preserve"> 90 para estaciones vecinas a las adquiridas</w:t>
      </w:r>
      <w:bookmarkEnd w:id="192"/>
      <w:bookmarkEnd w:id="193"/>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074369"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1D2CEF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4F5AA81B"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63EFED7F"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06770B3D"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1FF6DE6E"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374410" w:rsidRPr="00074369"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4A516E7C" w14:textId="1233022A"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Dum.Vecino</w:t>
            </w:r>
            <w:proofErr w:type="spellEnd"/>
          </w:p>
        </w:tc>
        <w:tc>
          <w:tcPr>
            <w:tcW w:w="1467" w:type="dxa"/>
            <w:tcBorders>
              <w:top w:val="single" w:sz="4" w:space="0" w:color="auto"/>
            </w:tcBorders>
            <w:vAlign w:val="center"/>
            <w:hideMark/>
          </w:tcPr>
          <w:p w14:paraId="310859DF" w14:textId="0D37627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p>
        </w:tc>
        <w:tc>
          <w:tcPr>
            <w:tcW w:w="1467" w:type="dxa"/>
            <w:tcBorders>
              <w:top w:val="single" w:sz="4" w:space="0" w:color="auto"/>
            </w:tcBorders>
            <w:vAlign w:val="center"/>
            <w:hideMark/>
          </w:tcPr>
          <w:p w14:paraId="286C9D26" w14:textId="5A3AA57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-0.081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69D58C2D" w14:textId="6B8EA61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-0.097</w:t>
            </w:r>
            <w:r w:rsidRPr="00074369">
              <w:rPr>
                <w:rFonts w:ascii="Times New Roman" w:hAnsi="Times New Roman"/>
                <w:szCs w:val="20"/>
                <w:vertAlign w:val="superscript"/>
              </w:rPr>
              <w:t>**</w:t>
            </w:r>
          </w:p>
        </w:tc>
        <w:tc>
          <w:tcPr>
            <w:tcW w:w="1468" w:type="dxa"/>
            <w:tcBorders>
              <w:top w:val="single" w:sz="4" w:space="0" w:color="auto"/>
            </w:tcBorders>
            <w:vAlign w:val="center"/>
            <w:hideMark/>
          </w:tcPr>
          <w:p w14:paraId="406F7E3A" w14:textId="7DB8A9B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-0.101</w:t>
            </w:r>
            <w:r w:rsidRPr="00074369">
              <w:rPr>
                <w:rFonts w:ascii="Times New Roman" w:hAnsi="Times New Roman"/>
                <w:szCs w:val="20"/>
                <w:vertAlign w:val="superscript"/>
              </w:rPr>
              <w:t>**</w:t>
            </w:r>
          </w:p>
        </w:tc>
      </w:tr>
      <w:tr w:rsidR="00374410" w:rsidRPr="00074369"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C9A3EA"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8A1FBB5" w14:textId="29B46AB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(0.055)</w:t>
            </w:r>
          </w:p>
        </w:tc>
        <w:tc>
          <w:tcPr>
            <w:tcW w:w="1467" w:type="dxa"/>
            <w:vAlign w:val="center"/>
            <w:hideMark/>
          </w:tcPr>
          <w:p w14:paraId="29423555" w14:textId="74C3A01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(0.048)</w:t>
            </w:r>
          </w:p>
        </w:tc>
        <w:tc>
          <w:tcPr>
            <w:tcW w:w="1467" w:type="dxa"/>
            <w:vAlign w:val="center"/>
            <w:hideMark/>
          </w:tcPr>
          <w:p w14:paraId="6C04CAE7" w14:textId="7A9E461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0EE8F5A2" w14:textId="4A6B0DF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7E7F64" w14:textId="77777777"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Dum.FechaCompra</w:t>
            </w:r>
            <w:proofErr w:type="spellEnd"/>
          </w:p>
        </w:tc>
        <w:tc>
          <w:tcPr>
            <w:tcW w:w="1467" w:type="dxa"/>
            <w:vAlign w:val="center"/>
            <w:hideMark/>
          </w:tcPr>
          <w:p w14:paraId="56EA01B5" w14:textId="0802EF8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0.782</w:t>
            </w:r>
            <w:r w:rsidRPr="00074369">
              <w:rPr>
                <w:rFonts w:ascii="Times New Roman" w:hAnsi="Times New Roman"/>
                <w:szCs w:val="20"/>
                <w:vertAlign w:val="superscript"/>
              </w:rPr>
              <w:t>***</w:t>
            </w:r>
          </w:p>
        </w:tc>
        <w:tc>
          <w:tcPr>
            <w:tcW w:w="1467" w:type="dxa"/>
            <w:vAlign w:val="center"/>
            <w:hideMark/>
          </w:tcPr>
          <w:p w14:paraId="6A50699F" w14:textId="73ACF0F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1.812</w:t>
            </w:r>
            <w:r w:rsidRPr="00074369">
              <w:rPr>
                <w:rFonts w:ascii="Times New Roman" w:hAnsi="Times New Roman"/>
                <w:szCs w:val="20"/>
                <w:vertAlign w:val="superscript"/>
              </w:rPr>
              <w:t>***</w:t>
            </w:r>
          </w:p>
        </w:tc>
        <w:tc>
          <w:tcPr>
            <w:tcW w:w="1467" w:type="dxa"/>
            <w:vAlign w:val="center"/>
            <w:hideMark/>
          </w:tcPr>
          <w:p w14:paraId="29F0F60B" w14:textId="4CA591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1.816</w:t>
            </w:r>
            <w:r w:rsidRPr="00074369">
              <w:rPr>
                <w:rFonts w:ascii="Times New Roman" w:hAnsi="Times New Roman"/>
                <w:szCs w:val="20"/>
                <w:vertAlign w:val="superscript"/>
              </w:rPr>
              <w:t>***</w:t>
            </w:r>
          </w:p>
        </w:tc>
        <w:tc>
          <w:tcPr>
            <w:tcW w:w="1468" w:type="dxa"/>
            <w:vAlign w:val="center"/>
            <w:hideMark/>
          </w:tcPr>
          <w:p w14:paraId="1C1BD273"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57D885"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21A220A" w14:textId="31A3C0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(0.017)</w:t>
            </w:r>
          </w:p>
        </w:tc>
        <w:tc>
          <w:tcPr>
            <w:tcW w:w="1467" w:type="dxa"/>
            <w:vAlign w:val="center"/>
            <w:hideMark/>
          </w:tcPr>
          <w:p w14:paraId="0F988432" w14:textId="44B044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7" w:type="dxa"/>
            <w:vAlign w:val="center"/>
            <w:hideMark/>
          </w:tcPr>
          <w:p w14:paraId="69142C3B" w14:textId="653CCAE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8" w:type="dxa"/>
            <w:vAlign w:val="center"/>
            <w:hideMark/>
          </w:tcPr>
          <w:p w14:paraId="45F1CADF"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961A9A5" w14:textId="3591841C"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w:t>
            </w:r>
            <w:proofErr w:type="spellStart"/>
            <w:r w:rsidRPr="00074369">
              <w:rPr>
                <w:rFonts w:asciiTheme="minorHAnsi" w:hAnsiTheme="minorHAnsi" w:cstheme="minorHAnsi"/>
                <w:szCs w:val="20"/>
              </w:rPr>
              <w:t>D.FechaCompra</w:t>
            </w:r>
            <w:proofErr w:type="spellEnd"/>
          </w:p>
        </w:tc>
        <w:tc>
          <w:tcPr>
            <w:tcW w:w="1467" w:type="dxa"/>
            <w:vAlign w:val="center"/>
            <w:hideMark/>
          </w:tcPr>
          <w:p w14:paraId="32B60E10" w14:textId="794A71C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0D463DAE" w14:textId="6227C2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5AB8E2B9" w14:textId="352DED7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0.110</w:t>
            </w:r>
            <w:r w:rsidRPr="00074369">
              <w:rPr>
                <w:rFonts w:ascii="Times New Roman" w:hAnsi="Times New Roman"/>
                <w:szCs w:val="20"/>
                <w:vertAlign w:val="superscript"/>
              </w:rPr>
              <w:t>***</w:t>
            </w:r>
          </w:p>
        </w:tc>
        <w:tc>
          <w:tcPr>
            <w:tcW w:w="1468" w:type="dxa"/>
            <w:vAlign w:val="center"/>
          </w:tcPr>
          <w:p w14:paraId="01DEBAFD"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A8936F7"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D0E598D" w14:textId="155E8D0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5A8E5C6C" w14:textId="6A6254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227C9226" w14:textId="30BF0C1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(0.031)</w:t>
            </w:r>
          </w:p>
        </w:tc>
        <w:tc>
          <w:tcPr>
            <w:tcW w:w="1468" w:type="dxa"/>
            <w:vAlign w:val="center"/>
          </w:tcPr>
          <w:p w14:paraId="1FFF7966"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064EBA6" w14:textId="06EC1916" w:rsidR="00374410" w:rsidRPr="00074369" w:rsidRDefault="00374410" w:rsidP="00976D23">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00976D23" w:rsidRPr="00074369">
              <w:rPr>
                <w:rFonts w:asciiTheme="minorHAnsi" w:hAnsiTheme="minorHAnsi" w:cstheme="minorHAnsi"/>
                <w:szCs w:val="20"/>
              </w:rPr>
              <w:t>*</w:t>
            </w:r>
            <w:r w:rsidRPr="00074369">
              <w:rPr>
                <w:rFonts w:asciiTheme="minorHAnsi" w:hAnsiTheme="minorHAnsi" w:cstheme="minorHAnsi"/>
                <w:szCs w:val="20"/>
              </w:rPr>
              <w:t xml:space="preserve"> D.1antes</w:t>
            </w:r>
          </w:p>
        </w:tc>
        <w:tc>
          <w:tcPr>
            <w:tcW w:w="1467" w:type="dxa"/>
            <w:vAlign w:val="center"/>
          </w:tcPr>
          <w:p w14:paraId="5AB0F36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5175B34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B6C230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E88BB20" w14:textId="2218BE6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0.008</w:t>
            </w:r>
          </w:p>
        </w:tc>
      </w:tr>
      <w:tr w:rsidR="00374410" w:rsidRPr="00074369"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499AF7D"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tcPr>
          <w:p w14:paraId="26EE1EE3"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1823A11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9E7B2CB"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38C2DB81" w14:textId="15DAB60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374410" w:rsidRPr="00074369"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F78CF4" w14:textId="29058ED5"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*D.1desp</w:t>
            </w:r>
          </w:p>
        </w:tc>
        <w:tc>
          <w:tcPr>
            <w:tcW w:w="1467" w:type="dxa"/>
            <w:vAlign w:val="center"/>
            <w:hideMark/>
          </w:tcPr>
          <w:p w14:paraId="49E72330"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33DCB4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4ABDFF2"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0BB2480" w14:textId="15FC9F1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F6FF2"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7B66518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F51C3B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ECE1514"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30B72AF" w14:textId="51827B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(0.033)</w:t>
            </w:r>
          </w:p>
        </w:tc>
      </w:tr>
      <w:tr w:rsidR="00374410" w:rsidRPr="00074369"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E767E7" w14:textId="5E0904B3"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*D.2desp</w:t>
            </w:r>
          </w:p>
        </w:tc>
        <w:tc>
          <w:tcPr>
            <w:tcW w:w="1467" w:type="dxa"/>
            <w:vAlign w:val="center"/>
            <w:hideMark/>
          </w:tcPr>
          <w:p w14:paraId="5E89B2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6380923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75F443"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6289598" w14:textId="60CBCDD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0.134</w:t>
            </w:r>
            <w:r w:rsidRPr="00074369">
              <w:rPr>
                <w:rFonts w:ascii="Times New Roman" w:hAnsi="Times New Roman"/>
                <w:szCs w:val="20"/>
                <w:vertAlign w:val="superscript"/>
              </w:rPr>
              <w:t>***</w:t>
            </w:r>
          </w:p>
        </w:tc>
      </w:tr>
      <w:tr w:rsidR="00374410" w:rsidRPr="00074369"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BF796C"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53A1E8C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56C954E"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1A897D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2BD61063" w14:textId="46EEF22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(0.037)</w:t>
            </w:r>
          </w:p>
        </w:tc>
      </w:tr>
      <w:tr w:rsidR="00374410" w:rsidRPr="00074369"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61E72A" w14:textId="56EB0204" w:rsidR="00374410" w:rsidRPr="00074369" w:rsidRDefault="00374410" w:rsidP="0037441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D.Vecino</w:t>
            </w:r>
            <w:proofErr w:type="spellEnd"/>
            <w:r w:rsidRPr="00074369">
              <w:rPr>
                <w:rFonts w:asciiTheme="minorHAnsi" w:hAnsiTheme="minorHAnsi" w:cstheme="minorHAnsi"/>
                <w:szCs w:val="20"/>
              </w:rPr>
              <w:t>*D.3desp</w:t>
            </w:r>
          </w:p>
        </w:tc>
        <w:tc>
          <w:tcPr>
            <w:tcW w:w="1467" w:type="dxa"/>
            <w:vAlign w:val="center"/>
            <w:hideMark/>
          </w:tcPr>
          <w:p w14:paraId="0DEE1C3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2BE0BE2"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FDA87A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D933ED5" w14:textId="48A791F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0.167</w:t>
            </w:r>
            <w:r w:rsidRPr="00074369">
              <w:rPr>
                <w:rFonts w:ascii="Times New Roman" w:hAnsi="Times New Roman"/>
                <w:szCs w:val="20"/>
                <w:vertAlign w:val="superscript"/>
              </w:rPr>
              <w:t>***</w:t>
            </w:r>
          </w:p>
        </w:tc>
      </w:tr>
      <w:tr w:rsidR="00374410" w:rsidRPr="00074369"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B5ADEA9"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281CC3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72739266"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C45A9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5D4900D" w14:textId="532D5A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F189A6"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A3A97F2" w14:textId="6E8CB6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11.271</w:t>
            </w:r>
            <w:r w:rsidRPr="00074369">
              <w:rPr>
                <w:rFonts w:ascii="Times New Roman" w:hAnsi="Times New Roman"/>
                <w:szCs w:val="20"/>
                <w:vertAlign w:val="superscript"/>
              </w:rPr>
              <w:t>***</w:t>
            </w:r>
          </w:p>
        </w:tc>
        <w:tc>
          <w:tcPr>
            <w:tcW w:w="1467" w:type="dxa"/>
            <w:vAlign w:val="center"/>
            <w:hideMark/>
          </w:tcPr>
          <w:p w14:paraId="74E3F54E" w14:textId="0B0ABBC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10.883</w:t>
            </w:r>
            <w:r w:rsidRPr="00074369">
              <w:rPr>
                <w:rFonts w:ascii="Times New Roman" w:hAnsi="Times New Roman"/>
                <w:szCs w:val="20"/>
                <w:vertAlign w:val="superscript"/>
              </w:rPr>
              <w:t>***</w:t>
            </w:r>
          </w:p>
        </w:tc>
        <w:tc>
          <w:tcPr>
            <w:tcW w:w="1467" w:type="dxa"/>
            <w:vAlign w:val="center"/>
            <w:hideMark/>
          </w:tcPr>
          <w:p w14:paraId="68469BBB" w14:textId="5D8FFA8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11.233</w:t>
            </w:r>
            <w:r w:rsidRPr="00074369">
              <w:rPr>
                <w:rFonts w:ascii="Times New Roman" w:hAnsi="Times New Roman"/>
                <w:szCs w:val="20"/>
                <w:vertAlign w:val="superscript"/>
              </w:rPr>
              <w:t>***</w:t>
            </w:r>
          </w:p>
        </w:tc>
        <w:tc>
          <w:tcPr>
            <w:tcW w:w="1468" w:type="dxa"/>
            <w:vAlign w:val="center"/>
            <w:hideMark/>
          </w:tcPr>
          <w:p w14:paraId="77D1526F" w14:textId="4A2F86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11.234</w:t>
            </w:r>
            <w:r w:rsidRPr="00074369">
              <w:rPr>
                <w:rFonts w:ascii="Times New Roman" w:hAnsi="Times New Roman"/>
                <w:szCs w:val="20"/>
                <w:vertAlign w:val="superscript"/>
              </w:rPr>
              <w:t>***</w:t>
            </w:r>
          </w:p>
        </w:tc>
      </w:tr>
      <w:tr w:rsidR="00374410" w:rsidRPr="00074369"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7415871"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0EAB5BB" w14:textId="3374FD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(0.035)</w:t>
            </w:r>
          </w:p>
        </w:tc>
        <w:tc>
          <w:tcPr>
            <w:tcW w:w="1467" w:type="dxa"/>
            <w:vAlign w:val="center"/>
            <w:hideMark/>
          </w:tcPr>
          <w:p w14:paraId="174A6FC6" w14:textId="10E8087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1DAEB22F" w14:textId="6D0BE96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51F671D7" w14:textId="5E6E54F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400240" w:rsidRPr="00074369"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47CB0706"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mes</w:t>
            </w:r>
          </w:p>
        </w:tc>
        <w:tc>
          <w:tcPr>
            <w:tcW w:w="1467" w:type="dxa"/>
          </w:tcPr>
          <w:p w14:paraId="52D94792"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749B966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0FE71DD5"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30703172"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1EA78D4"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distrito</w:t>
            </w:r>
          </w:p>
        </w:tc>
        <w:tc>
          <w:tcPr>
            <w:tcW w:w="1467" w:type="dxa"/>
          </w:tcPr>
          <w:p w14:paraId="2B2A34D5"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D39A4BA"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777122C6"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4A4FF067"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14CD6327" w14:textId="77777777" w:rsidR="00400240" w:rsidRPr="00074369" w:rsidRDefault="00400240" w:rsidP="009705DE">
            <w:pPr>
              <w:spacing w:after="0" w:line="240" w:lineRule="auto"/>
              <w:jc w:val="left"/>
              <w:rPr>
                <w:rFonts w:cstheme="minorHAnsi"/>
                <w:szCs w:val="20"/>
              </w:rPr>
            </w:pPr>
            <w:r w:rsidRPr="00074369">
              <w:rPr>
                <w:rFonts w:cstheme="minorHAnsi"/>
                <w:szCs w:val="20"/>
              </w:rPr>
              <w:t>Variables de control</w:t>
            </w:r>
          </w:p>
        </w:tc>
        <w:tc>
          <w:tcPr>
            <w:tcW w:w="1467" w:type="dxa"/>
          </w:tcPr>
          <w:p w14:paraId="2661795B"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47955A7"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3DD7A6FC"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152DD7A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374410" w:rsidRPr="00074369"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30AB5D"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632AC734" w14:textId="1AEDBAB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B290D79" w14:textId="7B215C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0F6D743" w14:textId="0A39ED8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48AD0C5E" w14:textId="0D88318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374410" w:rsidRPr="00074369"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7CB8A9F"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1691B514" w14:textId="0D7980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0.257</w:t>
            </w:r>
          </w:p>
        </w:tc>
        <w:tc>
          <w:tcPr>
            <w:tcW w:w="1467" w:type="dxa"/>
            <w:vAlign w:val="center"/>
            <w:hideMark/>
          </w:tcPr>
          <w:p w14:paraId="6EDC8665" w14:textId="4C7B0D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0.600</w:t>
            </w:r>
          </w:p>
        </w:tc>
        <w:tc>
          <w:tcPr>
            <w:tcW w:w="1467" w:type="dxa"/>
            <w:vAlign w:val="center"/>
            <w:hideMark/>
          </w:tcPr>
          <w:p w14:paraId="1D1CD17F" w14:textId="61A919E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0.662</w:t>
            </w:r>
          </w:p>
        </w:tc>
        <w:tc>
          <w:tcPr>
            <w:tcW w:w="1468" w:type="dxa"/>
            <w:vAlign w:val="center"/>
            <w:hideMark/>
          </w:tcPr>
          <w:p w14:paraId="759DB1E7" w14:textId="1F49669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0.663</w:t>
            </w:r>
          </w:p>
        </w:tc>
      </w:tr>
      <w:tr w:rsidR="00374410" w:rsidRPr="00074369"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5823BC"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C5FC78D" w14:textId="2F764210"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0.256</w:t>
            </w:r>
          </w:p>
        </w:tc>
        <w:tc>
          <w:tcPr>
            <w:tcW w:w="1467" w:type="dxa"/>
            <w:vAlign w:val="center"/>
            <w:hideMark/>
          </w:tcPr>
          <w:p w14:paraId="41774769" w14:textId="7F1A015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0.597</w:t>
            </w:r>
          </w:p>
        </w:tc>
        <w:tc>
          <w:tcPr>
            <w:tcW w:w="1467" w:type="dxa"/>
            <w:vAlign w:val="center"/>
            <w:hideMark/>
          </w:tcPr>
          <w:p w14:paraId="17FB6329" w14:textId="781CE26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0.659</w:t>
            </w:r>
          </w:p>
        </w:tc>
        <w:tc>
          <w:tcPr>
            <w:tcW w:w="1468" w:type="dxa"/>
            <w:vAlign w:val="center"/>
            <w:hideMark/>
          </w:tcPr>
          <w:p w14:paraId="2217D178" w14:textId="0798524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0.660</w:t>
            </w:r>
          </w:p>
        </w:tc>
      </w:tr>
      <w:tr w:rsidR="00400240" w:rsidRPr="00074369"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341667"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64C4622"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472B629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6720555" w14:textId="77777777" w:rsidR="00400240" w:rsidRPr="00074369" w:rsidRDefault="00400240" w:rsidP="009705DE">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3F437CD9" w14:textId="77777777" w:rsidR="00400240" w:rsidRPr="00074369" w:rsidRDefault="00400240" w:rsidP="009705DE">
            <w:pPr>
              <w:spacing w:after="0" w:line="240" w:lineRule="auto"/>
              <w:jc w:val="center"/>
              <w:rPr>
                <w:rFonts w:asciiTheme="minorHAnsi" w:hAnsiTheme="minorHAnsi" w:cstheme="minorHAnsi"/>
                <w:szCs w:val="20"/>
              </w:rPr>
            </w:pPr>
          </w:p>
        </w:tc>
      </w:tr>
      <w:tr w:rsidR="00400240" w:rsidRPr="00074369"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392C7983"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rPr>
              <w:t>Notas:</w:t>
            </w:r>
          </w:p>
          <w:p w14:paraId="7A3E5B5F"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454441F9" w14:textId="77777777" w:rsidR="00400240" w:rsidRPr="00074369" w:rsidRDefault="00400240" w:rsidP="007416B1">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Los errores estándares </w:t>
            </w:r>
            <w:proofErr w:type="spellStart"/>
            <w:r w:rsidRPr="00074369">
              <w:rPr>
                <w:rFonts w:asciiTheme="minorHAnsi" w:hAnsiTheme="minorHAnsi" w:cstheme="minorHAnsi"/>
                <w:szCs w:val="20"/>
              </w:rPr>
              <w:t>clusterizados</w:t>
            </w:r>
            <w:proofErr w:type="spellEnd"/>
            <w:r w:rsidRPr="00074369">
              <w:rPr>
                <w:rFonts w:asciiTheme="minorHAnsi" w:hAnsiTheme="minorHAnsi" w:cstheme="minorHAnsi"/>
                <w:szCs w:val="20"/>
              </w:rPr>
              <w:t xml:space="preserve"> por estación se muestran entre paréntesis.</w:t>
            </w:r>
          </w:p>
        </w:tc>
      </w:tr>
    </w:tbl>
    <w:p w14:paraId="52A743DF" w14:textId="73A19F88" w:rsidR="00010844" w:rsidRPr="00074369" w:rsidRDefault="00010844" w:rsidP="00D32E14"/>
    <w:p w14:paraId="34196D56" w14:textId="20616872" w:rsidR="00770490" w:rsidRPr="00074369" w:rsidRDefault="00770490" w:rsidP="00B97460">
      <w:r w:rsidRPr="00074369">
        <w:br w:type="page"/>
      </w:r>
    </w:p>
    <w:p w14:paraId="722D4FC2" w14:textId="285F8E3D" w:rsidR="00D651D1" w:rsidRPr="00074369" w:rsidRDefault="00A314E8" w:rsidP="00A314E8">
      <w:pPr>
        <w:pStyle w:val="Ttulo1"/>
      </w:pPr>
      <w:bookmarkStart w:id="194" w:name="_Toc11179122"/>
      <w:r w:rsidRPr="00074369">
        <w:lastRenderedPageBreak/>
        <w:t>Conclusiones y recomendaciones</w:t>
      </w:r>
      <w:bookmarkEnd w:id="194"/>
    </w:p>
    <w:p w14:paraId="61067C5F" w14:textId="3DB7972C" w:rsidR="000B1026" w:rsidRDefault="000B1026" w:rsidP="000B1026">
      <w:pPr>
        <w:pStyle w:val="Ttulo2"/>
      </w:pPr>
      <w:bookmarkStart w:id="195" w:name="_Toc11179123"/>
      <w:r>
        <w:t>Conclusiones</w:t>
      </w:r>
      <w:bookmarkEnd w:id="195"/>
    </w:p>
    <w:p w14:paraId="472F4029" w14:textId="1A8106F3" w:rsidR="000B1026" w:rsidRDefault="000B1F09" w:rsidP="001B293F">
      <w:r>
        <w:t xml:space="preserve">Este trabajo consideró estimaciones por efectos fijos y diferencias-en-diferencias para evaluar el impacto </w:t>
      </w:r>
      <w:r w:rsidR="001B293F">
        <w:t>de una adquisición entre minoristas de combustible líquido. Todos los modelos apuntan a la misma dirección, un incremento en los precios del di</w:t>
      </w:r>
      <w:r w:rsidR="002F55E7">
        <w:t xml:space="preserve">ésel y del </w:t>
      </w:r>
      <w:proofErr w:type="spellStart"/>
      <w:r w:rsidR="002F55E7">
        <w:t>gasohol</w:t>
      </w:r>
      <w:proofErr w:type="spellEnd"/>
      <w:r w:rsidR="002F55E7">
        <w:t xml:space="preserve"> 90, con diferencias menores entre ellas. La estimación del</w:t>
      </w:r>
      <w:r w:rsidR="00891A2E">
        <w:t xml:space="preserve"> modelo de panel considerando</w:t>
      </w:r>
      <w:r w:rsidR="002F55E7">
        <w:t xml:space="preserve"> dependencia espacial reduce los </w:t>
      </w:r>
      <w:r w:rsidR="00891A2E">
        <w:t>estimados,</w:t>
      </w:r>
      <w:r w:rsidR="002F55E7">
        <w:t xml:space="preserve"> pero siguen siendo significativos y de 9 centavos para del diésel y 8 para el </w:t>
      </w:r>
      <w:proofErr w:type="spellStart"/>
      <w:r w:rsidR="002F55E7">
        <w:t>gasohol</w:t>
      </w:r>
      <w:proofErr w:type="spellEnd"/>
      <w:r w:rsidR="002F55E7">
        <w:t xml:space="preserve"> 90. Como metodología alternativa, se utilizó un enfoque de diferencias-en-diferencias </w:t>
      </w:r>
      <w:r w:rsidR="00891A2E">
        <w:t>encontr</w:t>
      </w:r>
      <w:r w:rsidR="00512711">
        <w:t>ándose resultados similares al panel, con incrementos de precios significativos para las estaciones que fueron adquiridas.</w:t>
      </w:r>
    </w:p>
    <w:p w14:paraId="62F45D36" w14:textId="4DCB5AF6" w:rsidR="004F70D1" w:rsidRDefault="007F4B2B" w:rsidP="001B293F">
      <w:r>
        <w:t>El modelo espacial indica que las estaciones vecinas a las adquiridas</w:t>
      </w:r>
      <w:r w:rsidR="0023791A">
        <w:t xml:space="preserve"> </w:t>
      </w:r>
      <w:r w:rsidR="00D04202">
        <w:t>aumentaron sus precios de manera significativa, pero en menor nivel que las adquiridas, resultado que también se encuentra utilizando la especificación de diferencias-en-diferencias.</w:t>
      </w:r>
      <w:r w:rsidR="00EE14E6">
        <w:t xml:space="preserve"> Una variable de control utilizada fue el agrupamiento espacial</w:t>
      </w:r>
      <w:r w:rsidR="008D6781">
        <w:t xml:space="preserve"> de las estaciones</w:t>
      </w:r>
      <w:r w:rsidR="00EE14E6">
        <w:t>, mas esta no resulta significativa d</w:t>
      </w:r>
      <w:r w:rsidR="00414971">
        <w:t xml:space="preserve">e manera consistente a diferencia del estudio similar de </w:t>
      </w:r>
      <w:proofErr w:type="spellStart"/>
      <w:r w:rsidR="00414971" w:rsidRPr="00414971">
        <w:t>Pennerstorfer</w:t>
      </w:r>
      <w:proofErr w:type="spellEnd"/>
      <w:r w:rsidR="00414971" w:rsidRPr="00414971">
        <w:t xml:space="preserve"> y Weiss </w:t>
      </w:r>
      <w:r w:rsidR="00414971" w:rsidRPr="00414971">
        <w:fldChar w:fldCharType="begin"/>
      </w:r>
      <w:r w:rsidR="006F6D84">
        <w:instrText xml:space="preserve"> ADDIN ZOTERO_ITEM CSL_CITATION {"citationID":"SluTeGGG","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00414971" w:rsidRPr="00414971">
        <w:fldChar w:fldCharType="separate"/>
      </w:r>
      <w:r w:rsidR="00355C59" w:rsidRPr="00355C59">
        <w:rPr>
          <w:rFonts w:ascii="Times New Roman" w:hAnsi="Times New Roman"/>
        </w:rPr>
        <w:t>(2013)</w:t>
      </w:r>
      <w:r w:rsidR="00414971" w:rsidRPr="00414971">
        <w:fldChar w:fldCharType="end"/>
      </w:r>
      <w:r w:rsidR="00414971">
        <w:t xml:space="preserve"> </w:t>
      </w:r>
      <w:r w:rsidR="008D6781">
        <w:t xml:space="preserve">en el mercado de Austria </w:t>
      </w:r>
      <w:r w:rsidR="00414971">
        <w:t xml:space="preserve">donde </w:t>
      </w:r>
      <w:r w:rsidR="008D6781">
        <w:t>utilizan</w:t>
      </w:r>
      <w:r w:rsidR="00414971">
        <w:t xml:space="preserve"> esta variable y </w:t>
      </w:r>
      <w:r w:rsidR="008D6781">
        <w:t>la encuentran significativa</w:t>
      </w:r>
      <w:r w:rsidR="00414971">
        <w:t>. Las diferencias entre el mercado de combustible austríaco y el peruano siendo el segundo uno más atomizado con pocos minoristas impo</w:t>
      </w:r>
      <w:r w:rsidR="008D6781">
        <w:t>rtantes apuntan en la dirección que los cambios en el agrupamiento espacial no generaron suficiente variación que explique los cambios de precios.</w:t>
      </w:r>
    </w:p>
    <w:p w14:paraId="6774588E" w14:textId="0200F3BB" w:rsidR="00512711" w:rsidRPr="000B1026" w:rsidRDefault="008D6781" w:rsidP="001B293F">
      <w:r>
        <w:t>Los</w:t>
      </w:r>
      <w:r w:rsidR="004F70D1">
        <w:t xml:space="preserve"> resultados anteriores indican que la consolidación de combustibles en el mercado minorista de Lima trajo como consecuencia aument</w:t>
      </w:r>
      <w:r w:rsidR="00D04202">
        <w:t xml:space="preserve">os en los precios de combustibles, no solo en aquellas estaciones adquiridas, sino </w:t>
      </w:r>
      <w:r w:rsidR="00030D15">
        <w:t>además</w:t>
      </w:r>
      <w:r w:rsidR="00D04202">
        <w:t xml:space="preserve"> en las estaciones </w:t>
      </w:r>
      <w:r w:rsidR="00DF4679">
        <w:t>vecinas. Debido a que los precios de Pecsa previos a su adquisición se encontraban por debajo del promedio, permiten plantear que la adquisición conllevó a mayores precios de Pecsa y que esto a su vez repercutió en las estaciones vecinas permitiéndoles subir más el precio.</w:t>
      </w:r>
    </w:p>
    <w:p w14:paraId="4FC057C6" w14:textId="77777777" w:rsidR="006D0E0E" w:rsidRDefault="000B1026" w:rsidP="000B1026">
      <w:pPr>
        <w:pStyle w:val="Ttulo2"/>
      </w:pPr>
      <w:bookmarkStart w:id="196" w:name="_Toc11179124"/>
      <w:r>
        <w:lastRenderedPageBreak/>
        <w:t>Recomendaciones</w:t>
      </w:r>
      <w:bookmarkEnd w:id="196"/>
    </w:p>
    <w:p w14:paraId="417A5BF6" w14:textId="5091C9BD" w:rsidR="00D651D1" w:rsidRPr="00074369" w:rsidRDefault="004A3003" w:rsidP="006D0E0E">
      <w:r>
        <w:t xml:space="preserve">A nivel de política pública, se debe reglamentar una ley de fusiones que permita que un organismo estatal evalúe las adquisiciones y fusiones </w:t>
      </w:r>
      <w:proofErr w:type="spellStart"/>
      <w:r>
        <w:t>ex-ante</w:t>
      </w:r>
      <w:proofErr w:type="spellEnd"/>
      <w:r>
        <w:t xml:space="preserve">, validando que estas no sean en detrimento de los consumidores. Para el caso particular de los combustibles, no podemos afirmar que el aumento de precios de las estaciones de Pecsa y sus vecinas haya generado una </w:t>
      </w:r>
      <w:r w:rsidR="00F51A58">
        <w:t xml:space="preserve">disminución del bienestar social, ya que es posible que ante un aumento de precio los consumidores hayan migrado a </w:t>
      </w:r>
      <w:r w:rsidR="00097E96">
        <w:t>marcas rivales. Sin embargo, este tipo de análisis o revisión de la evidencia deberían plantearse antes de la ejecución de una fusión.</w:t>
      </w:r>
      <w:r w:rsidR="00D651D1" w:rsidRPr="00074369">
        <w:br w:type="page"/>
      </w:r>
    </w:p>
    <w:p w14:paraId="241A4198" w14:textId="77777777" w:rsidR="00D651D1" w:rsidRPr="00074369" w:rsidRDefault="00D651D1" w:rsidP="00D651D1">
      <w:pPr>
        <w:pStyle w:val="Ttulo1"/>
        <w:numPr>
          <w:ilvl w:val="0"/>
          <w:numId w:val="0"/>
        </w:numPr>
      </w:pPr>
      <w:bookmarkStart w:id="197" w:name="_Toc11179125"/>
      <w:r w:rsidRPr="00074369">
        <w:lastRenderedPageBreak/>
        <w:t>Anexos</w:t>
      </w:r>
      <w:bookmarkEnd w:id="197"/>
    </w:p>
    <w:p w14:paraId="3D4E4C0E" w14:textId="72BCB5DB" w:rsidR="00D651D1" w:rsidRPr="00074369" w:rsidRDefault="007F1457" w:rsidP="00CD6BB4">
      <w:pPr>
        <w:pStyle w:val="Ttulo2"/>
        <w:numPr>
          <w:ilvl w:val="0"/>
          <w:numId w:val="0"/>
        </w:numPr>
        <w:ind w:left="340" w:hanging="340"/>
      </w:pPr>
      <w:bookmarkStart w:id="198" w:name="Anexo_sc"/>
      <w:bookmarkStart w:id="199" w:name="_Toc11179126"/>
      <w:commentRangeStart w:id="200"/>
      <w:r w:rsidRPr="00074369">
        <w:t>Anexo 1</w:t>
      </w:r>
      <w:bookmarkEnd w:id="198"/>
      <w:r w:rsidRPr="00074369">
        <w:t>: Definición y cálculo de medida de espaciamiento espacial</w:t>
      </w:r>
      <w:bookmarkEnd w:id="199"/>
      <w:r w:rsidR="00D651D1" w:rsidRPr="00074369">
        <w:t xml:space="preserve"> </w:t>
      </w:r>
      <w:commentRangeEnd w:id="200"/>
      <w:r w:rsidR="00CC0ED4">
        <w:rPr>
          <w:rStyle w:val="Refdecomentario"/>
          <w:b w:val="0"/>
        </w:rPr>
        <w:commentReference w:id="200"/>
      </w:r>
    </w:p>
    <w:p w14:paraId="59BD4EB2" w14:textId="2033EF71" w:rsidR="00873C23" w:rsidRPr="00074369" w:rsidRDefault="007F1457" w:rsidP="00D651D1">
      <w:r w:rsidRPr="00074369">
        <w:t xml:space="preserve">La ubicación de las firmas en un modelo competencia tiene incidencia en el grado de competencia que se observa en un mercado. </w:t>
      </w:r>
      <w:proofErr w:type="spellStart"/>
      <w:r w:rsidRPr="00074369">
        <w:t>Pennerstorfer</w:t>
      </w:r>
      <w:proofErr w:type="spellEnd"/>
      <w:r w:rsidRPr="00074369">
        <w:t xml:space="preserve"> y Weiss </w:t>
      </w:r>
      <w:r w:rsidRPr="00074369">
        <w:fldChar w:fldCharType="begin"/>
      </w:r>
      <w:r w:rsidR="006F6D84">
        <w:instrText xml:space="preserve"> ADDIN ZOTERO_ITEM CSL_CITATION {"citationID":"JKFmPvF6","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Pr="00074369">
        <w:fldChar w:fldCharType="separate"/>
      </w:r>
      <w:r w:rsidR="00355C59" w:rsidRPr="00355C59">
        <w:rPr>
          <w:rFonts w:ascii="Times New Roman" w:hAnsi="Times New Roman"/>
        </w:rPr>
        <w:t>(2013)</w:t>
      </w:r>
      <w:r w:rsidRPr="00074369">
        <w:fldChar w:fldCharType="end"/>
      </w:r>
      <w:r w:rsidRPr="00074369">
        <w:t xml:space="preserve"> </w:t>
      </w:r>
      <w:r w:rsidR="002F748A" w:rsidRPr="00074369">
        <w:t>proponen un caso simple donde se ilustra esta interacción. Supongamos que existen cinco estaciones</w:t>
      </w:r>
      <w:r w:rsidR="00D651D1" w:rsidRPr="00074369">
        <w:t xml:space="preserve"> independientes (A-B-C-D-E) que se distribuyen </w:t>
      </w:r>
      <w:r w:rsidR="002F748A" w:rsidRPr="00074369">
        <w:t xml:space="preserve">linealmente y </w:t>
      </w:r>
      <w:r w:rsidR="00D651D1" w:rsidRPr="00074369">
        <w:t>de manera equidistante en una vía. En ese caso, el orden de las estaciones es indiferente</w:t>
      </w:r>
      <w:r w:rsidR="002F748A" w:rsidRPr="00074369">
        <w:t xml:space="preserve"> para la competencia</w:t>
      </w:r>
      <w:r w:rsidR="00D651D1" w:rsidRPr="00074369">
        <w:t xml:space="preserve">. En cambio, si las estaciones pertenecen al mismo </w:t>
      </w:r>
      <w:r w:rsidR="008A1173">
        <w:t>dueño o firma</w:t>
      </w:r>
      <w:r w:rsidR="00D651D1" w:rsidRPr="00074369">
        <w:t>, el orden importa</w:t>
      </w:r>
      <w:r w:rsidR="002F748A" w:rsidRPr="00074369">
        <w:t xml:space="preserve"> puesto que estas estaciones toman decisiones en conjunto</w:t>
      </w:r>
      <w:r w:rsidR="00D651D1" w:rsidRPr="00074369">
        <w:t xml:space="preserve"> y puede tener consecuencias en el poder de mercado ejercido. </w:t>
      </w:r>
      <w:r w:rsidR="002F748A" w:rsidRPr="00074369">
        <w:t>Supongamos que ahora</w:t>
      </w:r>
      <w:r w:rsidR="00D651D1" w:rsidRPr="00074369">
        <w:t xml:space="preserve"> solo existen dos grupos de estaciones, y la secuencia es A</w:t>
      </w:r>
      <w:r w:rsidR="00D651D1" w:rsidRPr="00074369">
        <w:rPr>
          <w:vertAlign w:val="subscript"/>
        </w:rPr>
        <w:t>1</w:t>
      </w:r>
      <w:r w:rsidR="00D651D1" w:rsidRPr="00074369">
        <w:t xml:space="preserve"> – B</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B</w:t>
      </w:r>
      <w:r w:rsidR="00D651D1" w:rsidRPr="00074369">
        <w:rPr>
          <w:vertAlign w:val="subscript"/>
        </w:rPr>
        <w:t>2</w:t>
      </w:r>
      <w:r w:rsidR="00D651D1" w:rsidRPr="00074369">
        <w:t xml:space="preserve"> – A</w:t>
      </w:r>
      <w:r w:rsidR="00D651D1" w:rsidRPr="00074369">
        <w:rPr>
          <w:vertAlign w:val="subscript"/>
        </w:rPr>
        <w:t>3</w:t>
      </w:r>
      <w:r w:rsidR="00D651D1" w:rsidRPr="00074369">
        <w:t>, la competencia será similar al caso con cinco estaciones independientes, ya que los vecinos directos de cada estación son rivales. Pero si ahora el agrupamiento es el siguiente: A</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A</w:t>
      </w:r>
      <w:r w:rsidR="00D651D1" w:rsidRPr="00074369">
        <w:rPr>
          <w:vertAlign w:val="subscript"/>
        </w:rPr>
        <w:t>3</w:t>
      </w:r>
      <w:r w:rsidR="00D651D1" w:rsidRPr="00074369">
        <w:t xml:space="preserve"> – B</w:t>
      </w:r>
      <w:r w:rsidR="00D651D1" w:rsidRPr="00074369">
        <w:rPr>
          <w:vertAlign w:val="subscript"/>
        </w:rPr>
        <w:t>1</w:t>
      </w:r>
      <w:r w:rsidR="00D651D1" w:rsidRPr="00074369">
        <w:t xml:space="preserve"> – B</w:t>
      </w:r>
      <w:r w:rsidR="00D651D1" w:rsidRPr="00074369">
        <w:rPr>
          <w:vertAlign w:val="subscript"/>
        </w:rPr>
        <w:t>2</w:t>
      </w:r>
      <w:r w:rsidR="00D651D1" w:rsidRPr="00074369">
        <w:t>, la competencia se verá sobre todo entre las estaciones A</w:t>
      </w:r>
      <w:r w:rsidR="00D651D1" w:rsidRPr="00074369">
        <w:rPr>
          <w:vertAlign w:val="subscript"/>
        </w:rPr>
        <w:t>3</w:t>
      </w:r>
      <w:r w:rsidR="00D651D1" w:rsidRPr="00074369">
        <w:t xml:space="preserve"> y B</w:t>
      </w:r>
      <w:r w:rsidR="00D651D1" w:rsidRPr="00074369">
        <w:rPr>
          <w:vertAlign w:val="subscript"/>
        </w:rPr>
        <w:t>1</w:t>
      </w:r>
      <w:r w:rsidR="00D651D1" w:rsidRPr="00074369">
        <w:t>. Como ahora hay estaciones que no compiten directamente, podríamos esperar que</w:t>
      </w:r>
      <w:r w:rsidR="002F748A" w:rsidRPr="00074369">
        <w:t xml:space="preserve"> se alcance mayores precios de equilibrio</w:t>
      </w:r>
      <w:r w:rsidR="00D651D1" w:rsidRPr="00074369">
        <w:t xml:space="preserve">. </w:t>
      </w:r>
    </w:p>
    <w:p w14:paraId="20DBCBDC" w14:textId="56714C48" w:rsidR="009878AC" w:rsidRPr="00074369" w:rsidRDefault="00E61A74" w:rsidP="00D651D1">
      <w:r w:rsidRPr="00074369">
        <w:t>Para este trabajo</w:t>
      </w:r>
      <w:r w:rsidR="00FC7756" w:rsidRPr="00074369">
        <w:t xml:space="preserve"> de investigación</w:t>
      </w:r>
      <w:r w:rsidRPr="00074369">
        <w:t xml:space="preserve">, se siguió la definición de agrupamiento espacial definida por </w:t>
      </w:r>
      <w:proofErr w:type="spellStart"/>
      <w:r w:rsidRPr="00074369">
        <w:t>Pennerstorfer</w:t>
      </w:r>
      <w:proofErr w:type="spellEnd"/>
      <w:r w:rsidRPr="00074369">
        <w:t xml:space="preserve"> y Weiss </w:t>
      </w:r>
      <w:r w:rsidRPr="00074369">
        <w:fldChar w:fldCharType="begin"/>
      </w:r>
      <w:r w:rsidR="006F6D84">
        <w:instrText xml:space="preserve"> ADDIN ZOTERO_ITEM CSL_CITATION {"citationID":"zWLTj2PQ","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Pr="00074369">
        <w:fldChar w:fldCharType="separate"/>
      </w:r>
      <w:r w:rsidR="00355C59" w:rsidRPr="00355C59">
        <w:rPr>
          <w:rFonts w:ascii="Times New Roman" w:hAnsi="Times New Roman"/>
        </w:rPr>
        <w:t>(2013)</w:t>
      </w:r>
      <w:r w:rsidRPr="00074369">
        <w:fldChar w:fldCharType="end"/>
      </w:r>
      <w:r w:rsidRPr="00074369">
        <w:t xml:space="preserve"> que es una extensión del modelo circular de Salop</w:t>
      </w:r>
      <w:r w:rsidR="008745FE">
        <w:t xml:space="preserve"> </w:t>
      </w:r>
      <w:r w:rsidR="008745FE">
        <w:fldChar w:fldCharType="begin"/>
      </w:r>
      <w:r w:rsidR="008745FE">
        <w:instrText xml:space="preserve"> ADDIN ZOTERO_ITEM CSL_CITATION {"citationID":"n7NwxCPW","properties":{"formattedCitation":"(1979)","plainCitation":"(1979)","noteIndex":0},"citationItems":[{"id":1008,"uris":["http://zotero.org/users/358961/items/PW62P52M"],"uri":["http://zotero.org/users/358961/items/PW62P52M"],"itemData":{"id":1008,"type":"article-journal","abstract":"The Chamberlinian monopolistically competitive equilibrium has been explored and extended in a number of recent papers. These analyses have paid only cursory attention to the existence of an industry outside the Chamberlinian group. In this article I analyze a model of spatial competition in which a second commodity is explicitly treated. In this two-industry economy, a zero-profit equilibrium with symmetrically located firms may exhibit rather strange properties. First, demand curves are kinked, although firms make \"Nash\" conjectures. If equilibrium lies at the kink, the effects of parameter changes are perverse. In the short run, prices are rigid in the face of small cost changes. In the long run, increases in costs lower equilibrium prices. Increases in market size raise prices. The welfare properties are also perverse at a kinked equilibrium.","container-title":"The Bell Journal of Economics","DOI":"10.2307/3003323","ISSN":"0361-915X","issue":"1","note":"publisher: [RAND Corporation, Wiley]\nCitation Key: salopMonopolisticCompetitionOutside1979","page":"141-156","source":"JSTOR","title":"Monopolistic Competition with Outside Goods","volume":"10","author":[{"family":"Salop","given":"Steven C."}],"issued":{"date-parts":[["1979"]]}},"suppress-author":true}],"schema":"https://github.com/citation-style-language/schema/raw/master/csl-citation.json"} </w:instrText>
      </w:r>
      <w:r w:rsidR="008745FE">
        <w:fldChar w:fldCharType="separate"/>
      </w:r>
      <w:r w:rsidR="008745FE" w:rsidRPr="008745FE">
        <w:rPr>
          <w:rFonts w:ascii="Times New Roman" w:hAnsi="Times New Roman"/>
        </w:rPr>
        <w:t>(1979)</w:t>
      </w:r>
      <w:r w:rsidR="008745FE">
        <w:fldChar w:fldCharType="end"/>
      </w:r>
      <w:r w:rsidRPr="00074369">
        <w:t>. Los autores determinan clústeres de estaciones</w:t>
      </w:r>
      <w:r w:rsidR="009878AC" w:rsidRPr="00074369">
        <w:t xml:space="preserve"> </w:t>
      </w:r>
      <w:r w:rsidR="002F748A" w:rsidRPr="00074369">
        <w:t xml:space="preserve">vecinas </w:t>
      </w:r>
      <w:r w:rsidR="009878AC" w:rsidRPr="00074369">
        <w:t xml:space="preserve">que son operadas por la misma firma </w:t>
      </w:r>
      <w:r w:rsidR="002F748A" w:rsidRPr="00074369">
        <w:t xml:space="preserve">(misma razón social). </w:t>
      </w:r>
      <w:r w:rsidR="009878AC" w:rsidRPr="00074369">
        <w:t xml:space="preserve">A su vez, se realiza la asunción que una estación compite directamente únicamente con las estaciones con las que comparte frontera. </w:t>
      </w:r>
    </w:p>
    <w:p w14:paraId="7ABCFC62" w14:textId="1C1D4461" w:rsidR="00160158" w:rsidRPr="00074369" w:rsidRDefault="009878AC" w:rsidP="00D651D1">
      <w:r w:rsidRPr="00074369">
        <w:rPr>
          <w:b/>
          <w:u w:val="single"/>
        </w:rPr>
        <w:t>Ejemplo de cálculo:</w:t>
      </w:r>
      <w:r w:rsidRPr="00074369">
        <w:t xml:space="preserve"> </w:t>
      </w:r>
      <w:r w:rsidR="002F748A" w:rsidRPr="00074369">
        <w:t>Se realizará el cálculo para la estación de Primax (</w:t>
      </w:r>
      <m:oMath>
        <m:r>
          <w:rPr>
            <w:rFonts w:ascii="Cambria Math" w:hAnsi="Cambria Math"/>
          </w:rPr>
          <m:t>i</m:t>
        </m:r>
      </m:oMath>
      <w:r w:rsidR="002F748A" w:rsidRPr="00074369">
        <w:t xml:space="preserve">) que se señala con borde rojo en el </w:t>
      </w:r>
      <w:r w:rsidR="002F748A" w:rsidRPr="00074369">
        <w:fldChar w:fldCharType="begin"/>
      </w:r>
      <w:r w:rsidR="002F748A" w:rsidRPr="00074369">
        <w:instrText xml:space="preserve"> REF _Ref8308077 \h </w:instrText>
      </w:r>
      <w:r w:rsidR="002F748A" w:rsidRPr="00074369">
        <w:fldChar w:fldCharType="separate"/>
      </w:r>
      <w:r w:rsidR="004C0429" w:rsidRPr="00074369">
        <w:t xml:space="preserve">Gráfico </w:t>
      </w:r>
      <w:r w:rsidR="004C0429">
        <w:rPr>
          <w:noProof/>
        </w:rPr>
        <w:t>7</w:t>
      </w:r>
      <w:r w:rsidR="002F748A" w:rsidRPr="00074369">
        <w:fldChar w:fldCharType="end"/>
      </w:r>
      <w:r w:rsidR="002F748A" w:rsidRPr="00074369">
        <w:t xml:space="preserve">. </w:t>
      </w:r>
      <w:r w:rsidR="0007438F" w:rsidRPr="00074369">
        <w:t xml:space="preserve">Sea </w:t>
      </w:r>
      <m:oMath>
        <m:r>
          <w:rPr>
            <w:rFonts w:ascii="Cambria Math" w:hAnsi="Cambria Math"/>
          </w:rPr>
          <m:t>N_i</m:t>
        </m:r>
      </m:oMath>
      <w:r w:rsidR="00160158" w:rsidRPr="00074369">
        <w:t xml:space="preserve"> el número de estaciones con la </w:t>
      </w:r>
      <w:r w:rsidR="002F748A" w:rsidRPr="00074369">
        <w:t xml:space="preserve">que </w:t>
      </w:r>
      <m:oMath>
        <m:r>
          <w:rPr>
            <w:rFonts w:ascii="Cambria Math" w:hAnsi="Cambria Math"/>
          </w:rPr>
          <m:t>i</m:t>
        </m:r>
      </m:oMath>
      <w:r w:rsidR="00160158" w:rsidRPr="00074369">
        <w:t xml:space="preserve"> compite. </w:t>
      </w:r>
      <w:r w:rsidR="002F748A" w:rsidRPr="00074369">
        <w:t>En este caso, c</w:t>
      </w:r>
      <w:r w:rsidRPr="00074369">
        <w:t>ompite directamente con cuatro estaciones</w:t>
      </w:r>
      <w:r w:rsidR="0007438F" w:rsidRPr="00074369">
        <w:t xml:space="preserve">, </w:t>
      </w:r>
      <m:oMath>
        <m:r>
          <w:rPr>
            <w:rFonts w:ascii="Cambria Math" w:hAnsi="Cambria Math"/>
          </w:rPr>
          <m:t>N_i</m:t>
        </m:r>
        <m:r>
          <w:rPr>
            <w:rFonts w:ascii="Cambria Math" w:hAnsi="Cambria Math"/>
          </w:rPr>
          <m:t>=4</m:t>
        </m:r>
      </m:oMath>
      <w:r w:rsidRPr="00074369">
        <w:t>.</w:t>
      </w:r>
      <w:r w:rsidR="00160158" w:rsidRPr="00074369">
        <w:t xml:space="preserve"> En</w:t>
      </w:r>
      <w:r w:rsidR="002F748A" w:rsidRPr="00074369">
        <w:t xml:space="preserve"> el mercado que define la estación </w:t>
      </w:r>
      <m:oMath>
        <m:r>
          <w:rPr>
            <w:rFonts w:ascii="Cambria Math" w:hAnsi="Cambria Math"/>
          </w:rPr>
          <m:t>i</m:t>
        </m:r>
      </m:oMath>
      <w:r w:rsidR="002F748A" w:rsidRPr="00074369">
        <w:t xml:space="preserve">, </w:t>
      </w:r>
      <w:r w:rsidR="00160158" w:rsidRPr="00074369">
        <w:t>existen cuatro grupos de estaciones</w:t>
      </w:r>
      <w:r w:rsidR="0007438F" w:rsidRPr="00074369">
        <w:t xml:space="preserve"> (</w:t>
      </w:r>
      <m:oMath>
        <m:r>
          <w:rPr>
            <w:rFonts w:ascii="Cambria Math" w:hAnsi="Cambria Math"/>
          </w:rPr>
          <m:t>M_i</m:t>
        </m:r>
        <m:r>
          <w:rPr>
            <w:rFonts w:ascii="Cambria Math" w:hAnsi="Cambria Math"/>
          </w:rPr>
          <m:t>=4</m:t>
        </m:r>
      </m:oMath>
      <w:r w:rsidR="0007438F" w:rsidRPr="00074369">
        <w:t xml:space="preserve">). Para cada grupo, denotamos como </w:t>
      </w:r>
      <m:oMath>
        <m:r>
          <w:rPr>
            <w:rFonts w:ascii="Cambria Math" w:hAnsi="Cambria Math"/>
          </w:rPr>
          <m:t>k_(m_i,i)</m:t>
        </m:r>
      </m:oMath>
      <w:r w:rsidR="0007438F" w:rsidRPr="00074369">
        <w:t xml:space="preserve"> al número de estaci</w:t>
      </w:r>
      <w:proofErr w:type="spellStart"/>
      <w:r w:rsidR="002F748A" w:rsidRPr="00074369">
        <w:t>o</w:t>
      </w:r>
      <w:r w:rsidR="0007438F" w:rsidRPr="00074369">
        <w:t>n</w:t>
      </w:r>
      <w:r w:rsidR="002F748A" w:rsidRPr="00074369">
        <w:t>es</w:t>
      </w:r>
      <w:proofErr w:type="spellEnd"/>
      <w:r w:rsidR="002F748A" w:rsidRPr="00074369">
        <w:t xml:space="preserve"> en e</w:t>
      </w:r>
      <w:r w:rsidR="0007438F" w:rsidRPr="00074369">
        <w:t xml:space="preserve">l grupo </w:t>
      </w:r>
      <m:oMath>
        <m:r>
          <w:rPr>
            <w:rFonts w:ascii="Cambria Math" w:hAnsi="Cambria Math"/>
          </w:rPr>
          <m:t>m_i</m:t>
        </m:r>
      </m:oMath>
      <w:r w:rsidR="0007438F" w:rsidRPr="00074369">
        <w:t>.</w:t>
      </w:r>
    </w:p>
    <w:p w14:paraId="188B8D56" w14:textId="783B6F4F" w:rsidR="00E61A74" w:rsidRPr="00074369" w:rsidRDefault="00160158" w:rsidP="002F748A">
      <w:pPr>
        <w:pStyle w:val="Prrafodelista"/>
        <w:numPr>
          <w:ilvl w:val="0"/>
          <w:numId w:val="27"/>
        </w:numPr>
        <w:spacing w:after="120" w:line="240" w:lineRule="auto"/>
        <w:ind w:left="777" w:hanging="357"/>
        <w:contextualSpacing w:val="0"/>
      </w:pPr>
      <w:r w:rsidRPr="00074369">
        <w:t xml:space="preserve">Primax: </w:t>
      </w:r>
      <w:r w:rsidR="0007438F" w:rsidRPr="00074369">
        <w:t xml:space="preserve"> </w:t>
      </w:r>
      <m:oMath>
        <m:r>
          <w:rPr>
            <w:rFonts w:ascii="Cambria Math" w:hAnsi="Cambria Math"/>
          </w:rPr>
          <m:t>k_(m_1 )</m:t>
        </m:r>
        <m:r>
          <w:rPr>
            <w:rFonts w:ascii="Cambria Math" w:hAnsi="Cambria Math"/>
          </w:rPr>
          <m:t>=1</m:t>
        </m:r>
      </m:oMath>
      <w:r w:rsidR="007F1457" w:rsidRPr="00074369">
        <w:t xml:space="preserve"> </w:t>
      </w:r>
      <w:r w:rsidRPr="00074369">
        <w:t>estación (la propia estación)</w:t>
      </w:r>
    </w:p>
    <w:p w14:paraId="3F6E0083" w14:textId="4A81DC55" w:rsidR="00160158" w:rsidRPr="00074369" w:rsidRDefault="00160158" w:rsidP="002F748A">
      <w:pPr>
        <w:pStyle w:val="Prrafodelista"/>
        <w:numPr>
          <w:ilvl w:val="0"/>
          <w:numId w:val="27"/>
        </w:numPr>
        <w:spacing w:after="120" w:line="240" w:lineRule="auto"/>
        <w:ind w:left="777" w:hanging="357"/>
        <w:contextualSpacing w:val="0"/>
      </w:pPr>
      <w:r w:rsidRPr="00074369">
        <w:t xml:space="preserve">Repsol: </w:t>
      </w:r>
      <m:oMath>
        <m:r>
          <w:rPr>
            <w:rFonts w:ascii="Cambria Math" w:hAnsi="Cambria Math"/>
          </w:rPr>
          <m:t>k_(m_2 )</m:t>
        </m:r>
        <m:r>
          <w:rPr>
            <w:rFonts w:ascii="Cambria Math" w:hAnsi="Cambria Math"/>
          </w:rPr>
          <m:t>=10</m:t>
        </m:r>
      </m:oMath>
      <w:r w:rsidRPr="00074369">
        <w:t xml:space="preserve"> estaciones</w:t>
      </w:r>
      <w:r w:rsidR="0007438F" w:rsidRPr="00074369">
        <w:t xml:space="preserve">. A pesar que la estación Primax solo es vecina directa con dos estaciones Repsol, estas forman un grupo de diez estaciones vecinas entre sí que son operadas por Repsol Comercial. </w:t>
      </w:r>
    </w:p>
    <w:p w14:paraId="42F43E8D" w14:textId="00B82EEE" w:rsidR="0007438F" w:rsidRPr="00074369" w:rsidRDefault="0007438F" w:rsidP="002F748A">
      <w:pPr>
        <w:pStyle w:val="Prrafodelista"/>
        <w:numPr>
          <w:ilvl w:val="0"/>
          <w:numId w:val="27"/>
        </w:numPr>
        <w:spacing w:after="120" w:line="240" w:lineRule="auto"/>
        <w:ind w:left="777" w:hanging="357"/>
        <w:contextualSpacing w:val="0"/>
      </w:pPr>
      <w:r w:rsidRPr="00074369">
        <w:lastRenderedPageBreak/>
        <w:t>Clúster Independiente 1</w:t>
      </w:r>
      <w:r w:rsidR="00160158" w:rsidRPr="00074369">
        <w:t>:</w:t>
      </w:r>
      <w:r w:rsidR="007F1457" w:rsidRPr="00074369">
        <w:t xml:space="preserve"> </w:t>
      </w:r>
      <m:oMath>
        <m:r>
          <w:rPr>
            <w:rFonts w:ascii="Cambria Math" w:hAnsi="Cambria Math"/>
          </w:rPr>
          <m:t>k_(m_3 )</m:t>
        </m:r>
        <m:r>
          <w:rPr>
            <w:rFonts w:ascii="Cambria Math" w:hAnsi="Cambria Math"/>
          </w:rPr>
          <m:t>=1</m:t>
        </m:r>
      </m:oMath>
      <w:r w:rsidRPr="00074369">
        <w:t xml:space="preserve"> estación</w:t>
      </w:r>
    </w:p>
    <w:p w14:paraId="3B5EE08E" w14:textId="2FC780AE" w:rsidR="0007438F" w:rsidRPr="00074369" w:rsidRDefault="0007438F" w:rsidP="002455A1">
      <w:pPr>
        <w:pStyle w:val="Prrafodelista"/>
        <w:numPr>
          <w:ilvl w:val="0"/>
          <w:numId w:val="27"/>
        </w:numPr>
        <w:spacing w:after="360" w:line="240" w:lineRule="auto"/>
        <w:ind w:left="777" w:hanging="357"/>
        <w:contextualSpacing w:val="0"/>
      </w:pPr>
      <w:r w:rsidRPr="00074369">
        <w:t xml:space="preserve">Clúster Independiente 2: </w:t>
      </w:r>
      <m:oMath>
        <m:r>
          <w:rPr>
            <w:rFonts w:ascii="Cambria Math" w:hAnsi="Cambria Math"/>
          </w:rPr>
          <m:t>k_(m_4 )</m:t>
        </m:r>
        <m:r>
          <w:rPr>
            <w:rFonts w:ascii="Cambria Math" w:hAnsi="Cambria Math"/>
          </w:rPr>
          <m:t>=1</m:t>
        </m:r>
      </m:oMath>
      <w:r w:rsidRPr="00074369">
        <w:t xml:space="preserve"> estación</w:t>
      </w:r>
    </w:p>
    <w:p w14:paraId="5C74A2CD" w14:textId="4233E496" w:rsidR="00160158" w:rsidRPr="00074369" w:rsidRDefault="0007438F" w:rsidP="0007438F">
      <w:pPr>
        <w:ind w:left="420"/>
      </w:pPr>
      <w:r w:rsidRPr="00074369">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p>
    <w:p w14:paraId="5BD524F5" w14:textId="6A438F94" w:rsidR="007F1457" w:rsidRPr="00074369" w:rsidRDefault="007F1457" w:rsidP="002455A1">
      <w:pPr>
        <w:spacing w:after="360"/>
        <w:ind w:left="420"/>
      </w:pPr>
      <w:r w:rsidRPr="00074369">
        <w:t xml:space="preserve">Finalmente, se calcula el agrupamiento espacial como </w:t>
      </w:r>
      <m:oMath>
        <m:r>
          <w:rPr>
            <w:rFonts w:ascii="Cambria Math" w:hAnsi="Cambria Math"/>
          </w:rPr>
          <m:t>S</m:t>
        </m:r>
        <m:r>
          <w:rPr>
            <w:rFonts w:ascii="Cambria Math" w:hAnsi="Cambria Math"/>
          </w:rPr>
          <m:t>C_i</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▒k_(m_i,i) )/M_i </m:t>
        </m:r>
        <m:r>
          <w:rPr>
            <w:rFonts w:ascii="Cambria Math" w:hAnsi="Cambria Math"/>
          </w:rPr>
          <m:t>)⁄</m:t>
        </m:r>
        <m:r>
          <w:rPr>
            <w:rFonts w:ascii="Cambria Math" w:hAnsi="Cambria Math"/>
          </w:rPr>
          <m:t xml:space="preserve">N_i </m:t>
        </m:r>
        <m:r>
          <w:rPr>
            <w:rFonts w:ascii="Cambria Math" w:hAnsi="Cambria Math"/>
          </w:rPr>
          <m:t>.</m:t>
        </m:r>
      </m:oMath>
      <w:r w:rsidRPr="00074369">
        <w:t xml:space="preserve"> Para el caso del ejemplo, el resultado es:</w:t>
      </w:r>
    </w:p>
    <w:p w14:paraId="0EBBB541" w14:textId="25ECE783" w:rsidR="007F1457" w:rsidRPr="00074369" w:rsidRDefault="007F1457" w:rsidP="0007438F">
      <w:pPr>
        <w:ind w:left="420"/>
      </w:pPr>
      <m:oMathPara>
        <m:oMath>
          <m:r>
            <w:rPr>
              <w:rFonts w:ascii="Cambria Math" w:hAnsi="Cambria Math"/>
            </w:rPr>
            <m:t>S</m:t>
          </m:r>
          <m:r>
            <w:rPr>
              <w:rFonts w:ascii="Cambria Math" w:hAnsi="Cambria Math"/>
            </w:rPr>
            <m:t>C_i</m:t>
          </m:r>
          <m:r>
            <w:rPr>
              <w:rFonts w:ascii="Cambria Math" w:hAnsi="Cambria Math"/>
            </w:rPr>
            <m:t>=</m:t>
          </m:r>
          <m:r>
            <w:rPr>
              <w:rFonts w:ascii="Cambria Math" w:hAnsi="Cambria Math"/>
            </w:rPr>
            <m:t>((1+10+1+1)/4)/4</m:t>
          </m:r>
          <m:r>
            <w:rPr>
              <w:rFonts w:ascii="Cambria Math" w:hAnsi="Cambria Math"/>
            </w:rPr>
            <m:t>=0.8125</m:t>
          </m:r>
        </m:oMath>
      </m:oMathPara>
    </w:p>
    <w:p w14:paraId="229D55AE" w14:textId="50E60C82" w:rsidR="002F748A" w:rsidRPr="00074369" w:rsidRDefault="002F748A" w:rsidP="002F748A">
      <w:pPr>
        <w:pStyle w:val="Descripcin"/>
      </w:pPr>
      <w:bookmarkStart w:id="201" w:name="_Ref8308077"/>
      <w:bookmarkStart w:id="202" w:name="_Toc9171811"/>
      <w:r w:rsidRPr="00074369">
        <w:t xml:space="preserve">Gráfico </w:t>
      </w:r>
      <w:r w:rsidR="001F1E13">
        <w:fldChar w:fldCharType="begin"/>
      </w:r>
      <w:r w:rsidR="001F1E13">
        <w:instrText xml:space="preserve"> SEQ Gráfico \* ARABIC </w:instrText>
      </w:r>
      <w:r w:rsidR="001F1E13">
        <w:fldChar w:fldCharType="separate"/>
      </w:r>
      <w:r w:rsidR="001F1E13">
        <w:rPr>
          <w:noProof/>
        </w:rPr>
        <w:t>6</w:t>
      </w:r>
      <w:r w:rsidR="001F1E13">
        <w:fldChar w:fldCharType="end"/>
      </w:r>
      <w:bookmarkEnd w:id="201"/>
      <w:r w:rsidRPr="00074369">
        <w:t>: Clústeres de estaciones para el distrito de San Isidro</w:t>
      </w:r>
      <w:bookmarkEnd w:id="202"/>
    </w:p>
    <w:p w14:paraId="05A4ED56" w14:textId="093796BF" w:rsidR="00E61A74" w:rsidRPr="00074369" w:rsidRDefault="002F748A" w:rsidP="002F748A">
      <w:pPr>
        <w:spacing w:after="0"/>
        <w:jc w:val="center"/>
      </w:pPr>
      <w:r w:rsidRPr="00074369">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p>
    <w:p w14:paraId="33BF074D" w14:textId="3FC39955" w:rsidR="002F748A" w:rsidRPr="00074369" w:rsidRDefault="002F748A" w:rsidP="002F748A">
      <w:pPr>
        <w:pStyle w:val="Fuente"/>
      </w:pPr>
      <w:r w:rsidRPr="00074369">
        <w:t>Fuente: Elaboración propia, 2019</w:t>
      </w:r>
    </w:p>
    <w:p w14:paraId="35222872" w14:textId="22444E28" w:rsidR="00A314E8" w:rsidRPr="00074369" w:rsidRDefault="00A314E8" w:rsidP="00B97460">
      <w:r w:rsidRPr="00074369">
        <w:br w:type="page"/>
      </w:r>
    </w:p>
    <w:p w14:paraId="4EA89945" w14:textId="3AA0E5EF" w:rsidR="00C023D2" w:rsidRPr="00074369" w:rsidRDefault="00C023D2" w:rsidP="00CD6BB4">
      <w:pPr>
        <w:pStyle w:val="Ttulo2"/>
        <w:numPr>
          <w:ilvl w:val="1"/>
          <w:numId w:val="0"/>
        </w:numPr>
      </w:pPr>
      <w:bookmarkStart w:id="203" w:name="_Toc11179127"/>
      <w:r w:rsidRPr="00074369">
        <w:lastRenderedPageBreak/>
        <w:t>Anexo 2: Descripción de variables</w:t>
      </w:r>
      <w:bookmarkEnd w:id="203"/>
    </w:p>
    <w:p w14:paraId="0AF64D21" w14:textId="67F8F3A2" w:rsidR="00C023D2" w:rsidRPr="00074369" w:rsidRDefault="00C023D2" w:rsidP="00C023D2">
      <w:pPr>
        <w:pStyle w:val="Descripcin"/>
      </w:pPr>
      <w:bookmarkStart w:id="204" w:name="_Toc6348798"/>
      <w:bookmarkStart w:id="205" w:name="_Toc9171799"/>
      <w:r w:rsidRPr="00074369">
        <w:t xml:space="preserve">Tabla </w:t>
      </w:r>
      <w:r w:rsidRPr="00074369">
        <w:fldChar w:fldCharType="begin"/>
      </w:r>
      <w:r w:rsidRPr="00074369">
        <w:instrText xml:space="preserve"> SEQ Tabla \* ARABIC </w:instrText>
      </w:r>
      <w:r w:rsidRPr="00074369">
        <w:fldChar w:fldCharType="separate"/>
      </w:r>
      <w:r w:rsidR="004C0429">
        <w:rPr>
          <w:noProof/>
        </w:rPr>
        <w:t>10</w:t>
      </w:r>
      <w:r w:rsidRPr="00074369">
        <w:fldChar w:fldCharType="end"/>
      </w:r>
      <w:r w:rsidRPr="00074369">
        <w:t>: Estadística descriptiva</w:t>
      </w:r>
      <w:bookmarkEnd w:id="204"/>
      <w:bookmarkEnd w:id="205"/>
    </w:p>
    <w:tbl>
      <w:tblPr>
        <w:tblStyle w:val="tesis"/>
        <w:tblW w:w="7938" w:type="dxa"/>
        <w:tblLook w:val="04A0" w:firstRow="1" w:lastRow="0" w:firstColumn="1" w:lastColumn="0" w:noHBand="0" w:noVBand="1"/>
      </w:tblPr>
      <w:tblGrid>
        <w:gridCol w:w="1283"/>
        <w:gridCol w:w="3360"/>
        <w:gridCol w:w="766"/>
        <w:gridCol w:w="1131"/>
        <w:gridCol w:w="572"/>
        <w:gridCol w:w="826"/>
      </w:tblGrid>
      <w:tr w:rsidR="00C023D2" w:rsidRPr="00074369" w14:paraId="2376591E"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5F99553" w14:textId="77777777" w:rsidR="00C023D2" w:rsidRPr="00074369" w:rsidRDefault="00C023D2" w:rsidP="00B47870">
            <w:pPr>
              <w:spacing w:after="0" w:line="240" w:lineRule="auto"/>
              <w:jc w:val="left"/>
              <w:rPr>
                <w:rFonts w:asciiTheme="minorHAnsi" w:hAnsiTheme="minorHAnsi"/>
                <w:b/>
                <w:szCs w:val="20"/>
              </w:rPr>
            </w:pPr>
            <w:r w:rsidRPr="00074369">
              <w:rPr>
                <w:b/>
                <w:szCs w:val="20"/>
              </w:rPr>
              <w:t>Variable</w:t>
            </w:r>
          </w:p>
        </w:tc>
        <w:tc>
          <w:tcPr>
            <w:tcW w:w="3360" w:type="dxa"/>
            <w:hideMark/>
          </w:tcPr>
          <w:p w14:paraId="72E25CAD" w14:textId="77777777" w:rsidR="00C023D2" w:rsidRPr="00074369" w:rsidRDefault="00C023D2" w:rsidP="00B47870">
            <w:pPr>
              <w:spacing w:after="0" w:line="240" w:lineRule="auto"/>
              <w:jc w:val="left"/>
              <w:rPr>
                <w:rFonts w:asciiTheme="minorHAnsi" w:hAnsiTheme="minorHAnsi"/>
                <w:b/>
                <w:szCs w:val="20"/>
              </w:rPr>
            </w:pPr>
            <w:r w:rsidRPr="00074369">
              <w:rPr>
                <w:b/>
                <w:szCs w:val="20"/>
              </w:rPr>
              <w:t>Descripción</w:t>
            </w:r>
          </w:p>
        </w:tc>
        <w:tc>
          <w:tcPr>
            <w:tcW w:w="766" w:type="dxa"/>
            <w:hideMark/>
          </w:tcPr>
          <w:p w14:paraId="710A5CA5" w14:textId="77777777" w:rsidR="00C023D2" w:rsidRPr="00074369" w:rsidRDefault="00C023D2" w:rsidP="00B47870">
            <w:pPr>
              <w:spacing w:after="0" w:line="240" w:lineRule="auto"/>
              <w:jc w:val="right"/>
              <w:rPr>
                <w:rFonts w:asciiTheme="minorHAnsi" w:hAnsiTheme="minorHAnsi"/>
                <w:b/>
                <w:szCs w:val="20"/>
              </w:rPr>
            </w:pPr>
            <w:r w:rsidRPr="00074369">
              <w:rPr>
                <w:b/>
                <w:szCs w:val="20"/>
              </w:rPr>
              <w:t>Media</w:t>
            </w:r>
          </w:p>
        </w:tc>
        <w:tc>
          <w:tcPr>
            <w:tcW w:w="1131" w:type="dxa"/>
            <w:hideMark/>
          </w:tcPr>
          <w:p w14:paraId="35911343" w14:textId="77777777" w:rsidR="00C023D2" w:rsidRPr="00074369" w:rsidRDefault="00C023D2" w:rsidP="00B47870">
            <w:pPr>
              <w:spacing w:after="0" w:line="240" w:lineRule="auto"/>
              <w:jc w:val="right"/>
              <w:rPr>
                <w:rFonts w:asciiTheme="minorHAnsi" w:hAnsiTheme="minorHAnsi"/>
                <w:b/>
                <w:szCs w:val="20"/>
              </w:rPr>
            </w:pPr>
            <w:r w:rsidRPr="00074369">
              <w:rPr>
                <w:b/>
                <w:szCs w:val="20"/>
              </w:rPr>
              <w:t>Des.</w:t>
            </w:r>
            <w:r w:rsidRPr="00074369">
              <w:rPr>
                <w:rFonts w:asciiTheme="minorHAnsi" w:hAnsiTheme="minorHAnsi" w:cstheme="minorHAnsi"/>
                <w:b/>
                <w:bCs/>
                <w:szCs w:val="20"/>
              </w:rPr>
              <w:t xml:space="preserve"> </w:t>
            </w:r>
            <w:proofErr w:type="spellStart"/>
            <w:r w:rsidRPr="00074369">
              <w:rPr>
                <w:b/>
                <w:szCs w:val="20"/>
              </w:rPr>
              <w:t>Est</w:t>
            </w:r>
            <w:proofErr w:type="spellEnd"/>
          </w:p>
        </w:tc>
        <w:tc>
          <w:tcPr>
            <w:tcW w:w="0" w:type="auto"/>
            <w:hideMark/>
          </w:tcPr>
          <w:p w14:paraId="199CCBC8" w14:textId="77777777" w:rsidR="00C023D2" w:rsidRPr="00074369" w:rsidRDefault="00C023D2" w:rsidP="00B47870">
            <w:pPr>
              <w:spacing w:after="0" w:line="240" w:lineRule="auto"/>
              <w:jc w:val="right"/>
              <w:rPr>
                <w:rFonts w:asciiTheme="minorHAnsi" w:hAnsiTheme="minorHAnsi"/>
                <w:b/>
                <w:szCs w:val="20"/>
              </w:rPr>
            </w:pPr>
            <w:r w:rsidRPr="00074369">
              <w:rPr>
                <w:b/>
                <w:szCs w:val="20"/>
              </w:rPr>
              <w:t>Min</w:t>
            </w:r>
          </w:p>
        </w:tc>
        <w:tc>
          <w:tcPr>
            <w:tcW w:w="826" w:type="dxa"/>
            <w:hideMark/>
          </w:tcPr>
          <w:p w14:paraId="2F427459" w14:textId="77777777" w:rsidR="00C023D2" w:rsidRPr="00074369" w:rsidRDefault="00C023D2" w:rsidP="00B47870">
            <w:pPr>
              <w:spacing w:after="0" w:line="240" w:lineRule="auto"/>
              <w:jc w:val="right"/>
              <w:rPr>
                <w:rFonts w:asciiTheme="minorHAnsi" w:hAnsiTheme="minorHAnsi"/>
                <w:b/>
                <w:szCs w:val="20"/>
              </w:rPr>
            </w:pPr>
            <w:r w:rsidRPr="00074369">
              <w:rPr>
                <w:b/>
                <w:szCs w:val="20"/>
              </w:rPr>
              <w:t>Max</w:t>
            </w:r>
          </w:p>
        </w:tc>
      </w:tr>
      <w:tr w:rsidR="00C023D2" w:rsidRPr="00074369" w14:paraId="20DC6C35"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0E45A520"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Variable dependiente</w:t>
            </w:r>
          </w:p>
        </w:tc>
      </w:tr>
      <w:tr w:rsidR="00C023D2" w:rsidRPr="00074369" w14:paraId="0A6E458A"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2FEDD8"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DB5</w:t>
            </w:r>
          </w:p>
        </w:tc>
        <w:tc>
          <w:tcPr>
            <w:tcW w:w="3360" w:type="dxa"/>
            <w:hideMark/>
          </w:tcPr>
          <w:p w14:paraId="20C440FA"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Diésel DB5-S50 en la estación i (soles/galón)</w:t>
            </w:r>
          </w:p>
        </w:tc>
        <w:tc>
          <w:tcPr>
            <w:tcW w:w="766" w:type="dxa"/>
            <w:hideMark/>
          </w:tcPr>
          <w:p w14:paraId="23FD7191" w14:textId="77777777" w:rsidR="00C023D2" w:rsidRPr="00074369" w:rsidRDefault="00C023D2" w:rsidP="00B47870">
            <w:pPr>
              <w:spacing w:after="0" w:line="240" w:lineRule="auto"/>
              <w:jc w:val="right"/>
              <w:rPr>
                <w:rFonts w:asciiTheme="minorHAnsi" w:hAnsiTheme="minorHAnsi"/>
                <w:szCs w:val="20"/>
              </w:rPr>
            </w:pPr>
            <w:r w:rsidRPr="00074369">
              <w:rPr>
                <w:szCs w:val="20"/>
              </w:rPr>
              <w:t>11.310</w:t>
            </w:r>
          </w:p>
        </w:tc>
        <w:tc>
          <w:tcPr>
            <w:tcW w:w="1131" w:type="dxa"/>
            <w:hideMark/>
          </w:tcPr>
          <w:p w14:paraId="4CFA8ABC" w14:textId="77777777" w:rsidR="00C023D2" w:rsidRPr="00074369" w:rsidRDefault="00C023D2" w:rsidP="00B47870">
            <w:pPr>
              <w:spacing w:after="0" w:line="240" w:lineRule="auto"/>
              <w:jc w:val="right"/>
              <w:rPr>
                <w:rFonts w:asciiTheme="minorHAnsi" w:hAnsiTheme="minorHAnsi"/>
                <w:szCs w:val="20"/>
              </w:rPr>
            </w:pPr>
            <w:r w:rsidRPr="00074369">
              <w:rPr>
                <w:szCs w:val="20"/>
              </w:rPr>
              <w:t>1.020</w:t>
            </w:r>
          </w:p>
        </w:tc>
        <w:tc>
          <w:tcPr>
            <w:tcW w:w="0" w:type="auto"/>
            <w:hideMark/>
          </w:tcPr>
          <w:p w14:paraId="42A93DF1" w14:textId="77777777" w:rsidR="00C023D2" w:rsidRPr="00074369" w:rsidRDefault="00C023D2" w:rsidP="00B47870">
            <w:pPr>
              <w:spacing w:after="0" w:line="240" w:lineRule="auto"/>
              <w:jc w:val="right"/>
              <w:rPr>
                <w:rFonts w:asciiTheme="minorHAnsi" w:hAnsiTheme="minorHAnsi"/>
                <w:szCs w:val="20"/>
              </w:rPr>
            </w:pPr>
            <w:r w:rsidRPr="00074369">
              <w:rPr>
                <w:szCs w:val="20"/>
              </w:rPr>
              <w:t>8.5</w:t>
            </w:r>
          </w:p>
        </w:tc>
        <w:tc>
          <w:tcPr>
            <w:tcW w:w="826" w:type="dxa"/>
            <w:hideMark/>
          </w:tcPr>
          <w:p w14:paraId="71BA12C0" w14:textId="77777777" w:rsidR="00C023D2" w:rsidRPr="00074369" w:rsidRDefault="00C023D2" w:rsidP="00B47870">
            <w:pPr>
              <w:spacing w:after="0" w:line="240" w:lineRule="auto"/>
              <w:jc w:val="right"/>
              <w:rPr>
                <w:rFonts w:asciiTheme="minorHAnsi" w:hAnsiTheme="minorHAnsi"/>
                <w:szCs w:val="20"/>
              </w:rPr>
            </w:pPr>
            <w:r w:rsidRPr="00074369">
              <w:rPr>
                <w:szCs w:val="20"/>
              </w:rPr>
              <w:t>14.3</w:t>
            </w:r>
          </w:p>
        </w:tc>
      </w:tr>
      <w:tr w:rsidR="00C023D2" w:rsidRPr="00074369" w14:paraId="4A972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6E874A"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G90</w:t>
            </w:r>
          </w:p>
        </w:tc>
        <w:tc>
          <w:tcPr>
            <w:tcW w:w="3360" w:type="dxa"/>
            <w:hideMark/>
          </w:tcPr>
          <w:p w14:paraId="0248F8A7" w14:textId="77777777" w:rsidR="00C023D2" w:rsidRPr="00074369" w:rsidRDefault="00C023D2" w:rsidP="00B47870">
            <w:pPr>
              <w:spacing w:after="0" w:line="240" w:lineRule="auto"/>
              <w:jc w:val="left"/>
              <w:rPr>
                <w:rFonts w:asciiTheme="minorHAnsi" w:hAnsiTheme="minorHAnsi"/>
                <w:szCs w:val="20"/>
              </w:rPr>
            </w:pPr>
            <w:r w:rsidRPr="00074369">
              <w:rPr>
                <w:szCs w:val="20"/>
              </w:rPr>
              <w:t xml:space="preserve">Precio de </w:t>
            </w:r>
            <w:proofErr w:type="spellStart"/>
            <w:r w:rsidRPr="00074369">
              <w:rPr>
                <w:szCs w:val="20"/>
              </w:rPr>
              <w:t>Gasohol</w:t>
            </w:r>
            <w:proofErr w:type="spellEnd"/>
            <w:r w:rsidRPr="00074369">
              <w:rPr>
                <w:szCs w:val="20"/>
              </w:rPr>
              <w:t xml:space="preserve"> 90 en la estación i (soles/galón)</w:t>
            </w:r>
          </w:p>
        </w:tc>
        <w:tc>
          <w:tcPr>
            <w:tcW w:w="766" w:type="dxa"/>
            <w:hideMark/>
          </w:tcPr>
          <w:p w14:paraId="4477DF2E" w14:textId="77777777" w:rsidR="00C023D2" w:rsidRPr="00074369" w:rsidRDefault="00C023D2" w:rsidP="00B47870">
            <w:pPr>
              <w:spacing w:after="0" w:line="240" w:lineRule="auto"/>
              <w:jc w:val="right"/>
              <w:rPr>
                <w:rFonts w:asciiTheme="minorHAnsi" w:hAnsiTheme="minorHAnsi"/>
                <w:szCs w:val="20"/>
              </w:rPr>
            </w:pPr>
            <w:r w:rsidRPr="00074369">
              <w:rPr>
                <w:szCs w:val="20"/>
              </w:rPr>
              <w:t>11.579</w:t>
            </w:r>
          </w:p>
        </w:tc>
        <w:tc>
          <w:tcPr>
            <w:tcW w:w="1131" w:type="dxa"/>
            <w:hideMark/>
          </w:tcPr>
          <w:p w14:paraId="45B9D09D" w14:textId="77777777" w:rsidR="00C023D2" w:rsidRPr="00074369" w:rsidRDefault="00C023D2" w:rsidP="00B47870">
            <w:pPr>
              <w:spacing w:after="0" w:line="240" w:lineRule="auto"/>
              <w:jc w:val="right"/>
              <w:rPr>
                <w:rFonts w:asciiTheme="minorHAnsi" w:hAnsiTheme="minorHAnsi"/>
                <w:szCs w:val="20"/>
              </w:rPr>
            </w:pPr>
            <w:r w:rsidRPr="00074369">
              <w:rPr>
                <w:szCs w:val="20"/>
              </w:rPr>
              <w:t>0.881</w:t>
            </w:r>
          </w:p>
        </w:tc>
        <w:tc>
          <w:tcPr>
            <w:tcW w:w="0" w:type="auto"/>
            <w:hideMark/>
          </w:tcPr>
          <w:p w14:paraId="0484ECE8" w14:textId="77777777" w:rsidR="00C023D2" w:rsidRPr="00074369" w:rsidRDefault="00C023D2" w:rsidP="00B47870">
            <w:pPr>
              <w:spacing w:after="0" w:line="240" w:lineRule="auto"/>
              <w:jc w:val="right"/>
              <w:rPr>
                <w:rFonts w:asciiTheme="minorHAnsi" w:hAnsiTheme="minorHAnsi"/>
                <w:szCs w:val="20"/>
              </w:rPr>
            </w:pPr>
            <w:r w:rsidRPr="00074369">
              <w:rPr>
                <w:szCs w:val="20"/>
              </w:rPr>
              <w:t>9.0</w:t>
            </w:r>
          </w:p>
        </w:tc>
        <w:tc>
          <w:tcPr>
            <w:tcW w:w="826" w:type="dxa"/>
            <w:hideMark/>
          </w:tcPr>
          <w:p w14:paraId="7A8139E6" w14:textId="77777777" w:rsidR="00C023D2" w:rsidRPr="00074369" w:rsidRDefault="00C023D2" w:rsidP="00B47870">
            <w:pPr>
              <w:spacing w:after="0" w:line="240" w:lineRule="auto"/>
              <w:jc w:val="right"/>
              <w:rPr>
                <w:rFonts w:asciiTheme="minorHAnsi" w:hAnsiTheme="minorHAnsi"/>
                <w:szCs w:val="20"/>
              </w:rPr>
            </w:pPr>
            <w:r w:rsidRPr="00074369">
              <w:rPr>
                <w:szCs w:val="20"/>
              </w:rPr>
              <w:t>14.4</w:t>
            </w:r>
          </w:p>
        </w:tc>
      </w:tr>
      <w:tr w:rsidR="00C023D2" w:rsidRPr="00074369" w14:paraId="7A7A7F03"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22C8553B"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espaciales</w:t>
            </w:r>
          </w:p>
        </w:tc>
      </w:tr>
      <w:tr w:rsidR="00C023D2" w:rsidRPr="00074369" w14:paraId="7FCB70D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8679A57" w14:textId="77777777" w:rsidR="00C023D2" w:rsidRPr="00074369" w:rsidRDefault="00C023D2" w:rsidP="00B47870">
            <w:pPr>
              <w:spacing w:after="0" w:line="240" w:lineRule="auto"/>
              <w:jc w:val="left"/>
              <w:rPr>
                <w:rFonts w:asciiTheme="minorHAnsi" w:hAnsiTheme="minorHAnsi"/>
                <w:szCs w:val="20"/>
              </w:rPr>
            </w:pPr>
            <w:r w:rsidRPr="00074369">
              <w:rPr>
                <w:szCs w:val="20"/>
              </w:rPr>
              <w:t>SC</w:t>
            </w:r>
          </w:p>
        </w:tc>
        <w:tc>
          <w:tcPr>
            <w:tcW w:w="3360" w:type="dxa"/>
            <w:hideMark/>
          </w:tcPr>
          <w:p w14:paraId="4998C602" w14:textId="77777777" w:rsidR="00C023D2" w:rsidRPr="00074369" w:rsidRDefault="00C023D2" w:rsidP="00B47870">
            <w:pPr>
              <w:spacing w:after="0" w:line="240" w:lineRule="auto"/>
              <w:jc w:val="left"/>
              <w:rPr>
                <w:rFonts w:asciiTheme="minorHAnsi" w:hAnsiTheme="minorHAnsi"/>
                <w:szCs w:val="20"/>
              </w:rPr>
            </w:pPr>
            <w:r w:rsidRPr="00074369">
              <w:rPr>
                <w:szCs w:val="20"/>
              </w:rPr>
              <w:t>Agrupamiento espacial</w:t>
            </w:r>
          </w:p>
        </w:tc>
        <w:tc>
          <w:tcPr>
            <w:tcW w:w="766" w:type="dxa"/>
            <w:hideMark/>
          </w:tcPr>
          <w:p w14:paraId="04F122BB" w14:textId="77777777" w:rsidR="00C023D2" w:rsidRPr="00074369" w:rsidRDefault="00C023D2" w:rsidP="00B47870">
            <w:pPr>
              <w:spacing w:after="0" w:line="240" w:lineRule="auto"/>
              <w:jc w:val="right"/>
              <w:rPr>
                <w:rFonts w:asciiTheme="minorHAnsi" w:hAnsiTheme="minorHAnsi"/>
                <w:szCs w:val="20"/>
              </w:rPr>
            </w:pPr>
            <w:r w:rsidRPr="00074369">
              <w:rPr>
                <w:szCs w:val="20"/>
              </w:rPr>
              <w:t>0.230</w:t>
            </w:r>
          </w:p>
        </w:tc>
        <w:tc>
          <w:tcPr>
            <w:tcW w:w="1131" w:type="dxa"/>
            <w:hideMark/>
          </w:tcPr>
          <w:p w14:paraId="31CE17E8" w14:textId="77777777" w:rsidR="00C023D2" w:rsidRPr="00074369" w:rsidRDefault="00C023D2" w:rsidP="00B47870">
            <w:pPr>
              <w:spacing w:after="0" w:line="240" w:lineRule="auto"/>
              <w:jc w:val="right"/>
              <w:rPr>
                <w:rFonts w:asciiTheme="minorHAnsi" w:hAnsiTheme="minorHAnsi"/>
                <w:szCs w:val="20"/>
              </w:rPr>
            </w:pPr>
            <w:r w:rsidRPr="00074369">
              <w:rPr>
                <w:szCs w:val="20"/>
              </w:rPr>
              <w:t>0.151</w:t>
            </w:r>
          </w:p>
        </w:tc>
        <w:tc>
          <w:tcPr>
            <w:tcW w:w="0" w:type="auto"/>
            <w:hideMark/>
          </w:tcPr>
          <w:p w14:paraId="4A77ED0E" w14:textId="77777777" w:rsidR="00C023D2" w:rsidRPr="00074369" w:rsidRDefault="00C023D2" w:rsidP="00B47870">
            <w:pPr>
              <w:spacing w:after="0" w:line="240" w:lineRule="auto"/>
              <w:jc w:val="right"/>
              <w:rPr>
                <w:rFonts w:asciiTheme="minorHAnsi" w:hAnsiTheme="minorHAnsi"/>
                <w:szCs w:val="20"/>
              </w:rPr>
            </w:pPr>
            <w:r w:rsidRPr="00074369">
              <w:rPr>
                <w:szCs w:val="20"/>
              </w:rPr>
              <w:t>0.1</w:t>
            </w:r>
          </w:p>
        </w:tc>
        <w:tc>
          <w:tcPr>
            <w:tcW w:w="826" w:type="dxa"/>
            <w:hideMark/>
          </w:tcPr>
          <w:p w14:paraId="75CE20C1" w14:textId="77777777" w:rsidR="00C023D2" w:rsidRPr="00074369" w:rsidRDefault="00C023D2" w:rsidP="00B47870">
            <w:pPr>
              <w:spacing w:after="0" w:line="240" w:lineRule="auto"/>
              <w:jc w:val="right"/>
              <w:rPr>
                <w:rFonts w:asciiTheme="minorHAnsi" w:hAnsiTheme="minorHAnsi"/>
                <w:szCs w:val="20"/>
              </w:rPr>
            </w:pPr>
            <w:r w:rsidRPr="00074369">
              <w:rPr>
                <w:szCs w:val="20"/>
              </w:rPr>
              <w:t>1.2</w:t>
            </w:r>
          </w:p>
        </w:tc>
      </w:tr>
      <w:tr w:rsidR="00C023D2" w:rsidRPr="00074369" w14:paraId="745D0B2D"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AB3E090" w14:textId="77777777" w:rsidR="00C023D2" w:rsidRPr="00074369" w:rsidRDefault="00C023D2" w:rsidP="00B47870">
            <w:pPr>
              <w:spacing w:after="0" w:line="240" w:lineRule="auto"/>
              <w:jc w:val="left"/>
              <w:rPr>
                <w:rFonts w:asciiTheme="minorHAnsi" w:hAnsiTheme="minorHAnsi"/>
                <w:szCs w:val="20"/>
              </w:rPr>
            </w:pPr>
            <w:r w:rsidRPr="00074369">
              <w:rPr>
                <w:szCs w:val="20"/>
              </w:rPr>
              <w:t>DMIN</w:t>
            </w:r>
          </w:p>
        </w:tc>
        <w:tc>
          <w:tcPr>
            <w:tcW w:w="3360" w:type="dxa"/>
            <w:hideMark/>
          </w:tcPr>
          <w:p w14:paraId="21BAB7AD"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mínima (km)</w:t>
            </w:r>
          </w:p>
        </w:tc>
        <w:tc>
          <w:tcPr>
            <w:tcW w:w="766" w:type="dxa"/>
            <w:hideMark/>
          </w:tcPr>
          <w:p w14:paraId="132526A4" w14:textId="77777777" w:rsidR="00C023D2" w:rsidRPr="00074369" w:rsidRDefault="00C023D2" w:rsidP="00B47870">
            <w:pPr>
              <w:spacing w:after="0" w:line="240" w:lineRule="auto"/>
              <w:jc w:val="right"/>
              <w:rPr>
                <w:rFonts w:asciiTheme="minorHAnsi" w:hAnsiTheme="minorHAnsi"/>
                <w:szCs w:val="20"/>
              </w:rPr>
            </w:pPr>
            <w:r w:rsidRPr="00074369">
              <w:rPr>
                <w:szCs w:val="20"/>
              </w:rPr>
              <w:t>0.405</w:t>
            </w:r>
          </w:p>
        </w:tc>
        <w:tc>
          <w:tcPr>
            <w:tcW w:w="1131" w:type="dxa"/>
            <w:hideMark/>
          </w:tcPr>
          <w:p w14:paraId="13481D4D" w14:textId="77777777" w:rsidR="00C023D2" w:rsidRPr="00074369" w:rsidRDefault="00C023D2" w:rsidP="00B47870">
            <w:pPr>
              <w:spacing w:after="0" w:line="240" w:lineRule="auto"/>
              <w:jc w:val="right"/>
              <w:rPr>
                <w:rFonts w:asciiTheme="minorHAnsi" w:hAnsiTheme="minorHAnsi"/>
                <w:szCs w:val="20"/>
              </w:rPr>
            </w:pPr>
            <w:r w:rsidRPr="00074369">
              <w:rPr>
                <w:szCs w:val="20"/>
              </w:rPr>
              <w:t>0.440</w:t>
            </w:r>
          </w:p>
        </w:tc>
        <w:tc>
          <w:tcPr>
            <w:tcW w:w="0" w:type="auto"/>
            <w:hideMark/>
          </w:tcPr>
          <w:p w14:paraId="5098BD88"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EABEAD8" w14:textId="77777777" w:rsidR="00C023D2" w:rsidRPr="00074369" w:rsidRDefault="00C023D2" w:rsidP="00B47870">
            <w:pPr>
              <w:spacing w:after="0" w:line="240" w:lineRule="auto"/>
              <w:jc w:val="right"/>
              <w:rPr>
                <w:rFonts w:asciiTheme="minorHAnsi" w:hAnsiTheme="minorHAnsi"/>
                <w:szCs w:val="20"/>
              </w:rPr>
            </w:pPr>
            <w:r w:rsidRPr="00074369">
              <w:rPr>
                <w:szCs w:val="20"/>
              </w:rPr>
              <w:t>5.8</w:t>
            </w:r>
          </w:p>
        </w:tc>
      </w:tr>
      <w:tr w:rsidR="00C023D2" w:rsidRPr="00074369" w14:paraId="53F6B929"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082ABB8" w14:textId="77777777" w:rsidR="00C023D2" w:rsidRPr="00074369" w:rsidRDefault="00C023D2" w:rsidP="00B47870">
            <w:pPr>
              <w:spacing w:after="0" w:line="240" w:lineRule="auto"/>
              <w:jc w:val="left"/>
              <w:rPr>
                <w:rFonts w:asciiTheme="minorHAnsi" w:hAnsiTheme="minorHAnsi"/>
                <w:szCs w:val="20"/>
              </w:rPr>
            </w:pPr>
            <w:r w:rsidRPr="00074369">
              <w:rPr>
                <w:szCs w:val="20"/>
              </w:rPr>
              <w:t>DPROM</w:t>
            </w:r>
          </w:p>
        </w:tc>
        <w:tc>
          <w:tcPr>
            <w:tcW w:w="3360" w:type="dxa"/>
            <w:hideMark/>
          </w:tcPr>
          <w:p w14:paraId="20027AC0"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promedio a grifos vecinos (km)</w:t>
            </w:r>
          </w:p>
        </w:tc>
        <w:tc>
          <w:tcPr>
            <w:tcW w:w="766" w:type="dxa"/>
            <w:hideMark/>
          </w:tcPr>
          <w:p w14:paraId="1A2BE77A" w14:textId="77777777" w:rsidR="00C023D2" w:rsidRPr="00074369" w:rsidRDefault="00C023D2" w:rsidP="00B47870">
            <w:pPr>
              <w:spacing w:after="0" w:line="240" w:lineRule="auto"/>
              <w:jc w:val="right"/>
              <w:rPr>
                <w:rFonts w:asciiTheme="minorHAnsi" w:hAnsiTheme="minorHAnsi"/>
                <w:szCs w:val="20"/>
              </w:rPr>
            </w:pPr>
            <w:r w:rsidRPr="00074369">
              <w:rPr>
                <w:szCs w:val="20"/>
              </w:rPr>
              <w:t>0.957</w:t>
            </w:r>
          </w:p>
        </w:tc>
        <w:tc>
          <w:tcPr>
            <w:tcW w:w="1131" w:type="dxa"/>
            <w:hideMark/>
          </w:tcPr>
          <w:p w14:paraId="215BF0FD" w14:textId="77777777" w:rsidR="00C023D2" w:rsidRPr="00074369" w:rsidRDefault="00C023D2" w:rsidP="00B47870">
            <w:pPr>
              <w:spacing w:after="0" w:line="240" w:lineRule="auto"/>
              <w:jc w:val="right"/>
              <w:rPr>
                <w:rFonts w:asciiTheme="minorHAnsi" w:hAnsiTheme="minorHAnsi"/>
                <w:szCs w:val="20"/>
              </w:rPr>
            </w:pPr>
            <w:r w:rsidRPr="00074369">
              <w:rPr>
                <w:szCs w:val="20"/>
              </w:rPr>
              <w:t>0.173</w:t>
            </w:r>
          </w:p>
        </w:tc>
        <w:tc>
          <w:tcPr>
            <w:tcW w:w="0" w:type="auto"/>
            <w:hideMark/>
          </w:tcPr>
          <w:p w14:paraId="5F38E031" w14:textId="77777777" w:rsidR="00C023D2" w:rsidRPr="00074369" w:rsidRDefault="00C023D2" w:rsidP="00B47870">
            <w:pPr>
              <w:spacing w:after="0" w:line="240" w:lineRule="auto"/>
              <w:jc w:val="right"/>
              <w:rPr>
                <w:rFonts w:asciiTheme="minorHAnsi" w:hAnsiTheme="minorHAnsi"/>
                <w:szCs w:val="20"/>
              </w:rPr>
            </w:pPr>
            <w:r w:rsidRPr="00074369">
              <w:rPr>
                <w:szCs w:val="20"/>
              </w:rPr>
              <w:t>0.2</w:t>
            </w:r>
          </w:p>
        </w:tc>
        <w:tc>
          <w:tcPr>
            <w:tcW w:w="826" w:type="dxa"/>
            <w:hideMark/>
          </w:tcPr>
          <w:p w14:paraId="23FDA02E" w14:textId="77777777" w:rsidR="00C023D2" w:rsidRPr="00074369" w:rsidRDefault="00C023D2" w:rsidP="00B47870">
            <w:pPr>
              <w:spacing w:after="0" w:line="240" w:lineRule="auto"/>
              <w:jc w:val="right"/>
              <w:rPr>
                <w:rFonts w:asciiTheme="minorHAnsi" w:hAnsiTheme="minorHAnsi"/>
                <w:szCs w:val="20"/>
              </w:rPr>
            </w:pPr>
            <w:r w:rsidRPr="00074369">
              <w:rPr>
                <w:szCs w:val="20"/>
              </w:rPr>
              <w:t>1.5</w:t>
            </w:r>
          </w:p>
        </w:tc>
      </w:tr>
      <w:tr w:rsidR="00C023D2" w:rsidRPr="00074369" w14:paraId="77CFE15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B2A396E" w14:textId="77777777" w:rsidR="00C023D2" w:rsidRPr="00074369" w:rsidRDefault="00C023D2" w:rsidP="00B47870">
            <w:pPr>
              <w:spacing w:after="0" w:line="240" w:lineRule="auto"/>
              <w:jc w:val="left"/>
              <w:rPr>
                <w:rFonts w:asciiTheme="minorHAnsi" w:hAnsiTheme="minorHAnsi"/>
                <w:szCs w:val="20"/>
              </w:rPr>
            </w:pPr>
            <w:r w:rsidRPr="00074369">
              <w:rPr>
                <w:szCs w:val="20"/>
              </w:rPr>
              <w:t>NCERC</w:t>
            </w:r>
          </w:p>
        </w:tc>
        <w:tc>
          <w:tcPr>
            <w:tcW w:w="3360" w:type="dxa"/>
            <w:hideMark/>
          </w:tcPr>
          <w:p w14:paraId="5DE9FB23" w14:textId="77777777" w:rsidR="00C023D2" w:rsidRPr="00074369" w:rsidRDefault="00C023D2" w:rsidP="00B47870">
            <w:pPr>
              <w:spacing w:after="0" w:line="240" w:lineRule="auto"/>
              <w:jc w:val="left"/>
              <w:rPr>
                <w:rFonts w:asciiTheme="minorHAnsi" w:hAnsiTheme="minorHAnsi"/>
                <w:szCs w:val="20"/>
              </w:rPr>
            </w:pPr>
            <w:r w:rsidRPr="00074369">
              <w:rPr>
                <w:szCs w:val="20"/>
              </w:rPr>
              <w:t>Número de grifos cercanos</w:t>
            </w:r>
          </w:p>
        </w:tc>
        <w:tc>
          <w:tcPr>
            <w:tcW w:w="766" w:type="dxa"/>
            <w:hideMark/>
          </w:tcPr>
          <w:p w14:paraId="7454672C" w14:textId="77777777" w:rsidR="00C023D2" w:rsidRPr="00074369" w:rsidRDefault="00C023D2" w:rsidP="00B47870">
            <w:pPr>
              <w:spacing w:after="0" w:line="240" w:lineRule="auto"/>
              <w:jc w:val="right"/>
              <w:rPr>
                <w:rFonts w:asciiTheme="minorHAnsi" w:hAnsiTheme="minorHAnsi"/>
                <w:szCs w:val="20"/>
              </w:rPr>
            </w:pPr>
            <w:r w:rsidRPr="00074369">
              <w:rPr>
                <w:szCs w:val="20"/>
              </w:rPr>
              <w:t>10.796</w:t>
            </w:r>
          </w:p>
        </w:tc>
        <w:tc>
          <w:tcPr>
            <w:tcW w:w="1131" w:type="dxa"/>
            <w:hideMark/>
          </w:tcPr>
          <w:p w14:paraId="6506EDAE" w14:textId="77777777" w:rsidR="00C023D2" w:rsidRPr="00074369" w:rsidRDefault="00C023D2" w:rsidP="00B47870">
            <w:pPr>
              <w:spacing w:after="0" w:line="240" w:lineRule="auto"/>
              <w:jc w:val="right"/>
              <w:rPr>
                <w:rFonts w:asciiTheme="minorHAnsi" w:hAnsiTheme="minorHAnsi"/>
                <w:szCs w:val="20"/>
              </w:rPr>
            </w:pPr>
            <w:r w:rsidRPr="00074369">
              <w:rPr>
                <w:szCs w:val="20"/>
              </w:rPr>
              <w:t>6.861</w:t>
            </w:r>
          </w:p>
        </w:tc>
        <w:tc>
          <w:tcPr>
            <w:tcW w:w="0" w:type="auto"/>
            <w:hideMark/>
          </w:tcPr>
          <w:p w14:paraId="55D91F3A"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58FC6F2" w14:textId="77777777" w:rsidR="00C023D2" w:rsidRPr="00074369" w:rsidRDefault="00C023D2" w:rsidP="00B47870">
            <w:pPr>
              <w:spacing w:after="0" w:line="240" w:lineRule="auto"/>
              <w:jc w:val="right"/>
              <w:rPr>
                <w:rFonts w:asciiTheme="minorHAnsi" w:hAnsiTheme="minorHAnsi"/>
                <w:szCs w:val="20"/>
              </w:rPr>
            </w:pPr>
            <w:r w:rsidRPr="00074369">
              <w:rPr>
                <w:szCs w:val="20"/>
              </w:rPr>
              <w:t>30.0</w:t>
            </w:r>
          </w:p>
        </w:tc>
      </w:tr>
      <w:tr w:rsidR="00C023D2" w:rsidRPr="00074369" w14:paraId="3B2C264B"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D04C5FB" w14:textId="77777777" w:rsidR="00C023D2" w:rsidRPr="00074369" w:rsidRDefault="00C023D2" w:rsidP="00B47870">
            <w:pPr>
              <w:spacing w:after="0" w:line="240" w:lineRule="auto"/>
              <w:jc w:val="left"/>
              <w:rPr>
                <w:b/>
                <w:color w:val="808080" w:themeColor="background1" w:themeShade="80"/>
                <w:szCs w:val="20"/>
              </w:rPr>
            </w:pPr>
            <w:r w:rsidRPr="00074369">
              <w:rPr>
                <w:b/>
                <w:color w:val="808080" w:themeColor="background1" w:themeShade="80"/>
                <w:szCs w:val="20"/>
              </w:rPr>
              <w:t>Características de la estación</w:t>
            </w:r>
          </w:p>
        </w:tc>
      </w:tr>
      <w:tr w:rsidR="00C023D2" w:rsidRPr="00074369" w14:paraId="256B0F1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7C5EBAE" w14:textId="77777777" w:rsidR="00C023D2" w:rsidRPr="00074369" w:rsidRDefault="00C023D2" w:rsidP="00B47870">
            <w:pPr>
              <w:spacing w:after="0" w:line="240" w:lineRule="auto"/>
              <w:jc w:val="left"/>
              <w:rPr>
                <w:rFonts w:asciiTheme="minorHAnsi" w:hAnsiTheme="minorHAnsi"/>
                <w:szCs w:val="20"/>
              </w:rPr>
            </w:pPr>
            <w:r w:rsidRPr="00074369">
              <w:rPr>
                <w:szCs w:val="20"/>
              </w:rPr>
              <w:t>GLP</w:t>
            </w:r>
          </w:p>
        </w:tc>
        <w:tc>
          <w:tcPr>
            <w:tcW w:w="3360" w:type="dxa"/>
            <w:hideMark/>
          </w:tcPr>
          <w:p w14:paraId="6EEF4348"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GLP</w:t>
            </w:r>
          </w:p>
        </w:tc>
        <w:tc>
          <w:tcPr>
            <w:tcW w:w="766" w:type="dxa"/>
            <w:hideMark/>
          </w:tcPr>
          <w:p w14:paraId="6BF50F86" w14:textId="77777777" w:rsidR="00C023D2" w:rsidRPr="00074369" w:rsidRDefault="00C023D2" w:rsidP="00B47870">
            <w:pPr>
              <w:spacing w:after="0" w:line="240" w:lineRule="auto"/>
              <w:jc w:val="right"/>
              <w:rPr>
                <w:rFonts w:asciiTheme="minorHAnsi" w:hAnsiTheme="minorHAnsi"/>
                <w:szCs w:val="20"/>
              </w:rPr>
            </w:pPr>
            <w:r w:rsidRPr="00074369">
              <w:rPr>
                <w:szCs w:val="20"/>
              </w:rPr>
              <w:t>0.449</w:t>
            </w:r>
          </w:p>
        </w:tc>
        <w:tc>
          <w:tcPr>
            <w:tcW w:w="1131" w:type="dxa"/>
            <w:hideMark/>
          </w:tcPr>
          <w:p w14:paraId="336176F3" w14:textId="77777777" w:rsidR="00C023D2" w:rsidRPr="00074369" w:rsidRDefault="00C023D2" w:rsidP="00B47870">
            <w:pPr>
              <w:spacing w:after="0" w:line="240" w:lineRule="auto"/>
              <w:jc w:val="right"/>
              <w:rPr>
                <w:rFonts w:asciiTheme="minorHAnsi" w:hAnsiTheme="minorHAnsi"/>
                <w:szCs w:val="20"/>
              </w:rPr>
            </w:pPr>
            <w:r w:rsidRPr="00074369">
              <w:rPr>
                <w:szCs w:val="20"/>
              </w:rPr>
              <w:t>0.498</w:t>
            </w:r>
          </w:p>
        </w:tc>
        <w:tc>
          <w:tcPr>
            <w:tcW w:w="0" w:type="auto"/>
            <w:hideMark/>
          </w:tcPr>
          <w:p w14:paraId="3D1D1814"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0317BE7"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4856C5B2"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72E5B05" w14:textId="77777777" w:rsidR="00C023D2" w:rsidRPr="00074369" w:rsidRDefault="00C023D2" w:rsidP="00B47870">
            <w:pPr>
              <w:spacing w:after="0" w:line="240" w:lineRule="auto"/>
              <w:jc w:val="left"/>
              <w:rPr>
                <w:rFonts w:asciiTheme="minorHAnsi" w:hAnsiTheme="minorHAnsi"/>
                <w:szCs w:val="20"/>
              </w:rPr>
            </w:pPr>
            <w:r w:rsidRPr="00074369">
              <w:rPr>
                <w:szCs w:val="20"/>
              </w:rPr>
              <w:t>GNV</w:t>
            </w:r>
          </w:p>
        </w:tc>
        <w:tc>
          <w:tcPr>
            <w:tcW w:w="3360" w:type="dxa"/>
            <w:hideMark/>
          </w:tcPr>
          <w:p w14:paraId="68667FBE"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GNV</w:t>
            </w:r>
          </w:p>
        </w:tc>
        <w:tc>
          <w:tcPr>
            <w:tcW w:w="766" w:type="dxa"/>
            <w:hideMark/>
          </w:tcPr>
          <w:p w14:paraId="3F3F8D51" w14:textId="77777777" w:rsidR="00C023D2" w:rsidRPr="00074369" w:rsidRDefault="00C023D2" w:rsidP="00B47870">
            <w:pPr>
              <w:spacing w:after="0" w:line="240" w:lineRule="auto"/>
              <w:jc w:val="right"/>
              <w:rPr>
                <w:rFonts w:asciiTheme="minorHAnsi" w:hAnsiTheme="minorHAnsi"/>
                <w:szCs w:val="20"/>
              </w:rPr>
            </w:pPr>
            <w:r w:rsidRPr="00074369">
              <w:rPr>
                <w:szCs w:val="20"/>
              </w:rPr>
              <w:t>0.350</w:t>
            </w:r>
          </w:p>
        </w:tc>
        <w:tc>
          <w:tcPr>
            <w:tcW w:w="1131" w:type="dxa"/>
            <w:hideMark/>
          </w:tcPr>
          <w:p w14:paraId="041D287B"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6DA6B82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FF44062"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9A8CC8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EB0C30" w14:textId="77777777" w:rsidR="00C023D2" w:rsidRPr="00074369" w:rsidRDefault="00C023D2" w:rsidP="00B47870">
            <w:pPr>
              <w:spacing w:after="0" w:line="240" w:lineRule="auto"/>
              <w:jc w:val="left"/>
              <w:rPr>
                <w:rFonts w:asciiTheme="minorHAnsi" w:hAnsiTheme="minorHAnsi"/>
                <w:szCs w:val="20"/>
              </w:rPr>
            </w:pPr>
            <w:r w:rsidRPr="00074369">
              <w:rPr>
                <w:szCs w:val="20"/>
              </w:rPr>
              <w:t>MECANICO</w:t>
            </w:r>
          </w:p>
        </w:tc>
        <w:tc>
          <w:tcPr>
            <w:tcW w:w="3360" w:type="dxa"/>
            <w:hideMark/>
          </w:tcPr>
          <w:p w14:paraId="2B3F7511"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asistencia mecánica</w:t>
            </w:r>
          </w:p>
        </w:tc>
        <w:tc>
          <w:tcPr>
            <w:tcW w:w="766" w:type="dxa"/>
            <w:hideMark/>
          </w:tcPr>
          <w:p w14:paraId="3C7AC8AB" w14:textId="77777777" w:rsidR="00C023D2" w:rsidRPr="00074369" w:rsidRDefault="00C023D2" w:rsidP="00B47870">
            <w:pPr>
              <w:spacing w:after="0" w:line="240" w:lineRule="auto"/>
              <w:jc w:val="right"/>
              <w:rPr>
                <w:rFonts w:asciiTheme="minorHAnsi" w:hAnsiTheme="minorHAnsi"/>
                <w:szCs w:val="20"/>
              </w:rPr>
            </w:pPr>
            <w:r w:rsidRPr="00074369">
              <w:rPr>
                <w:szCs w:val="20"/>
              </w:rPr>
              <w:t>0.366</w:t>
            </w:r>
          </w:p>
        </w:tc>
        <w:tc>
          <w:tcPr>
            <w:tcW w:w="1131" w:type="dxa"/>
            <w:hideMark/>
          </w:tcPr>
          <w:p w14:paraId="4D712A80" w14:textId="77777777" w:rsidR="00C023D2" w:rsidRPr="00074369" w:rsidRDefault="00C023D2" w:rsidP="00B47870">
            <w:pPr>
              <w:spacing w:after="0" w:line="240" w:lineRule="auto"/>
              <w:jc w:val="right"/>
              <w:rPr>
                <w:rFonts w:asciiTheme="minorHAnsi" w:hAnsiTheme="minorHAnsi"/>
                <w:szCs w:val="20"/>
              </w:rPr>
            </w:pPr>
            <w:r w:rsidRPr="00074369">
              <w:rPr>
                <w:szCs w:val="20"/>
              </w:rPr>
              <w:t>0.482</w:t>
            </w:r>
          </w:p>
        </w:tc>
        <w:tc>
          <w:tcPr>
            <w:tcW w:w="0" w:type="auto"/>
            <w:hideMark/>
          </w:tcPr>
          <w:p w14:paraId="09785D4D"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699FFC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7F866D6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BBAEA9A" w14:textId="77777777" w:rsidR="00C023D2" w:rsidRPr="00074369" w:rsidRDefault="00C023D2" w:rsidP="00B47870">
            <w:pPr>
              <w:spacing w:after="0" w:line="240" w:lineRule="auto"/>
              <w:jc w:val="left"/>
              <w:rPr>
                <w:rFonts w:asciiTheme="minorHAnsi" w:hAnsiTheme="minorHAnsi"/>
                <w:szCs w:val="20"/>
              </w:rPr>
            </w:pPr>
            <w:r w:rsidRPr="00074369">
              <w:rPr>
                <w:szCs w:val="20"/>
              </w:rPr>
              <w:t>LAVADO</w:t>
            </w:r>
          </w:p>
        </w:tc>
        <w:tc>
          <w:tcPr>
            <w:tcW w:w="3360" w:type="dxa"/>
            <w:hideMark/>
          </w:tcPr>
          <w:p w14:paraId="6CC6D914"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servicio de lavado de autos</w:t>
            </w:r>
          </w:p>
        </w:tc>
        <w:tc>
          <w:tcPr>
            <w:tcW w:w="766" w:type="dxa"/>
            <w:hideMark/>
          </w:tcPr>
          <w:p w14:paraId="2382CAE1" w14:textId="77777777" w:rsidR="00C023D2" w:rsidRPr="00074369" w:rsidRDefault="00C023D2" w:rsidP="00B47870">
            <w:pPr>
              <w:spacing w:after="0" w:line="240" w:lineRule="auto"/>
              <w:jc w:val="right"/>
              <w:rPr>
                <w:rFonts w:asciiTheme="minorHAnsi" w:hAnsiTheme="minorHAnsi"/>
                <w:szCs w:val="20"/>
              </w:rPr>
            </w:pPr>
            <w:r w:rsidRPr="00074369">
              <w:rPr>
                <w:szCs w:val="20"/>
              </w:rPr>
              <w:t>0.208</w:t>
            </w:r>
          </w:p>
        </w:tc>
        <w:tc>
          <w:tcPr>
            <w:tcW w:w="1131" w:type="dxa"/>
            <w:hideMark/>
          </w:tcPr>
          <w:p w14:paraId="6BADE1E4" w14:textId="77777777" w:rsidR="00C023D2" w:rsidRPr="00074369" w:rsidRDefault="00C023D2" w:rsidP="00B47870">
            <w:pPr>
              <w:spacing w:after="0" w:line="240" w:lineRule="auto"/>
              <w:jc w:val="right"/>
              <w:rPr>
                <w:rFonts w:asciiTheme="minorHAnsi" w:hAnsiTheme="minorHAnsi"/>
                <w:szCs w:val="20"/>
              </w:rPr>
            </w:pPr>
            <w:r w:rsidRPr="00074369">
              <w:rPr>
                <w:szCs w:val="20"/>
              </w:rPr>
              <w:t>0.407</w:t>
            </w:r>
          </w:p>
        </w:tc>
        <w:tc>
          <w:tcPr>
            <w:tcW w:w="0" w:type="auto"/>
            <w:hideMark/>
          </w:tcPr>
          <w:p w14:paraId="08BFE4F6"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44BF7208"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6DBAF9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31EFF39" w14:textId="77777777" w:rsidR="00C023D2" w:rsidRPr="00074369" w:rsidRDefault="00C023D2" w:rsidP="00B47870">
            <w:pPr>
              <w:spacing w:after="0" w:line="240" w:lineRule="auto"/>
              <w:jc w:val="left"/>
              <w:rPr>
                <w:rFonts w:asciiTheme="minorHAnsi" w:hAnsiTheme="minorHAnsi"/>
                <w:szCs w:val="20"/>
              </w:rPr>
            </w:pPr>
            <w:r w:rsidRPr="00074369">
              <w:rPr>
                <w:szCs w:val="20"/>
              </w:rPr>
              <w:t>TIENDA</w:t>
            </w:r>
          </w:p>
        </w:tc>
        <w:tc>
          <w:tcPr>
            <w:tcW w:w="3360" w:type="dxa"/>
            <w:hideMark/>
          </w:tcPr>
          <w:p w14:paraId="37321795" w14:textId="77777777" w:rsidR="00C023D2" w:rsidRPr="00074369" w:rsidRDefault="00C023D2" w:rsidP="00B47870">
            <w:pPr>
              <w:spacing w:after="0" w:line="240" w:lineRule="auto"/>
              <w:jc w:val="left"/>
              <w:rPr>
                <w:rFonts w:asciiTheme="minorHAnsi" w:hAnsiTheme="minorHAnsi"/>
                <w:szCs w:val="20"/>
              </w:rPr>
            </w:pPr>
            <w:r w:rsidRPr="00074369">
              <w:rPr>
                <w:szCs w:val="20"/>
              </w:rPr>
              <w:t xml:space="preserve">Variable binaria igual a 1 si la estación cuenta con tienda o </w:t>
            </w:r>
            <w:proofErr w:type="spellStart"/>
            <w:r w:rsidRPr="00074369">
              <w:rPr>
                <w:szCs w:val="20"/>
              </w:rPr>
              <w:t>mini-market</w:t>
            </w:r>
            <w:proofErr w:type="spellEnd"/>
          </w:p>
        </w:tc>
        <w:tc>
          <w:tcPr>
            <w:tcW w:w="766" w:type="dxa"/>
            <w:hideMark/>
          </w:tcPr>
          <w:p w14:paraId="17BF7BDC" w14:textId="77777777" w:rsidR="00C023D2" w:rsidRPr="00074369" w:rsidRDefault="00C023D2" w:rsidP="00B47870">
            <w:pPr>
              <w:spacing w:after="0" w:line="240" w:lineRule="auto"/>
              <w:jc w:val="right"/>
              <w:rPr>
                <w:rFonts w:asciiTheme="minorHAnsi" w:hAnsiTheme="minorHAnsi"/>
                <w:szCs w:val="20"/>
              </w:rPr>
            </w:pPr>
            <w:r w:rsidRPr="00074369">
              <w:rPr>
                <w:szCs w:val="20"/>
              </w:rPr>
              <w:t>0.648</w:t>
            </w:r>
          </w:p>
        </w:tc>
        <w:tc>
          <w:tcPr>
            <w:tcW w:w="1131" w:type="dxa"/>
            <w:hideMark/>
          </w:tcPr>
          <w:p w14:paraId="27FF5A66"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0A3BCCB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329D4F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DC11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4EC25F9" w14:textId="77777777" w:rsidR="00C023D2" w:rsidRPr="00074369" w:rsidRDefault="00C023D2" w:rsidP="00B47870">
            <w:pPr>
              <w:spacing w:after="0" w:line="240" w:lineRule="auto"/>
              <w:jc w:val="left"/>
              <w:rPr>
                <w:rFonts w:asciiTheme="minorHAnsi" w:hAnsiTheme="minorHAnsi"/>
                <w:szCs w:val="20"/>
              </w:rPr>
            </w:pPr>
            <w:r w:rsidRPr="00074369">
              <w:rPr>
                <w:szCs w:val="20"/>
              </w:rPr>
              <w:t>CAJERO</w:t>
            </w:r>
          </w:p>
        </w:tc>
        <w:tc>
          <w:tcPr>
            <w:tcW w:w="3360" w:type="dxa"/>
            <w:hideMark/>
          </w:tcPr>
          <w:p w14:paraId="42798D6F"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cajero automático</w:t>
            </w:r>
          </w:p>
        </w:tc>
        <w:tc>
          <w:tcPr>
            <w:tcW w:w="766" w:type="dxa"/>
            <w:hideMark/>
          </w:tcPr>
          <w:p w14:paraId="4C33BC35" w14:textId="77777777" w:rsidR="00C023D2" w:rsidRPr="00074369" w:rsidRDefault="00C023D2" w:rsidP="00B47870">
            <w:pPr>
              <w:spacing w:after="0" w:line="240" w:lineRule="auto"/>
              <w:jc w:val="right"/>
              <w:rPr>
                <w:rFonts w:asciiTheme="minorHAnsi" w:hAnsiTheme="minorHAnsi"/>
                <w:szCs w:val="20"/>
              </w:rPr>
            </w:pPr>
            <w:r w:rsidRPr="00074369">
              <w:rPr>
                <w:szCs w:val="20"/>
              </w:rPr>
              <w:t>0.389</w:t>
            </w:r>
          </w:p>
        </w:tc>
        <w:tc>
          <w:tcPr>
            <w:tcW w:w="1131" w:type="dxa"/>
            <w:hideMark/>
          </w:tcPr>
          <w:p w14:paraId="77C811C5" w14:textId="77777777" w:rsidR="00C023D2" w:rsidRPr="00074369" w:rsidRDefault="00C023D2" w:rsidP="00B47870">
            <w:pPr>
              <w:spacing w:after="0" w:line="240" w:lineRule="auto"/>
              <w:jc w:val="right"/>
              <w:rPr>
                <w:rFonts w:asciiTheme="minorHAnsi" w:hAnsiTheme="minorHAnsi"/>
                <w:szCs w:val="20"/>
              </w:rPr>
            </w:pPr>
            <w:r w:rsidRPr="00074369">
              <w:rPr>
                <w:szCs w:val="20"/>
              </w:rPr>
              <w:t>0.488</w:t>
            </w:r>
          </w:p>
        </w:tc>
        <w:tc>
          <w:tcPr>
            <w:tcW w:w="0" w:type="auto"/>
            <w:hideMark/>
          </w:tcPr>
          <w:p w14:paraId="515EAE92"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85C08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BCEB811"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32A47FFC"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del distrito</w:t>
            </w:r>
          </w:p>
        </w:tc>
      </w:tr>
      <w:tr w:rsidR="00C023D2" w:rsidRPr="00074369" w14:paraId="4EFFA256"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747855FD" w14:textId="77777777" w:rsidR="00C023D2" w:rsidRPr="00074369" w:rsidRDefault="00C023D2" w:rsidP="00B47870">
            <w:pPr>
              <w:spacing w:after="0" w:line="240" w:lineRule="auto"/>
              <w:jc w:val="left"/>
              <w:rPr>
                <w:rFonts w:asciiTheme="minorHAnsi" w:hAnsiTheme="minorHAnsi"/>
                <w:szCs w:val="20"/>
              </w:rPr>
            </w:pPr>
            <w:r w:rsidRPr="00074369">
              <w:rPr>
                <w:szCs w:val="20"/>
              </w:rPr>
              <w:t>DENPOB</w:t>
            </w:r>
          </w:p>
        </w:tc>
        <w:tc>
          <w:tcPr>
            <w:tcW w:w="3360" w:type="dxa"/>
            <w:hideMark/>
          </w:tcPr>
          <w:p w14:paraId="4787C7D1" w14:textId="77777777" w:rsidR="00C023D2" w:rsidRPr="00074369" w:rsidRDefault="00C023D2" w:rsidP="00B47870">
            <w:pPr>
              <w:spacing w:after="0" w:line="240" w:lineRule="auto"/>
              <w:jc w:val="left"/>
              <w:rPr>
                <w:rFonts w:asciiTheme="minorHAnsi" w:hAnsiTheme="minorHAnsi"/>
                <w:szCs w:val="20"/>
              </w:rPr>
            </w:pPr>
            <w:r w:rsidRPr="00074369">
              <w:rPr>
                <w:szCs w:val="20"/>
              </w:rPr>
              <w:t>Densidad poblacional (</w:t>
            </w:r>
            <w:r w:rsidRPr="00074369">
              <w:rPr>
                <w:rFonts w:asciiTheme="minorHAnsi" w:hAnsiTheme="minorHAnsi" w:cstheme="minorHAnsi"/>
                <w:szCs w:val="20"/>
              </w:rPr>
              <w:t xml:space="preserve">10,000 </w:t>
            </w:r>
            <w:r w:rsidRPr="00074369">
              <w:rPr>
                <w:szCs w:val="20"/>
              </w:rPr>
              <w:t>habitantes por km2)</w:t>
            </w:r>
          </w:p>
        </w:tc>
        <w:tc>
          <w:tcPr>
            <w:tcW w:w="766" w:type="dxa"/>
            <w:hideMark/>
          </w:tcPr>
          <w:p w14:paraId="3F096EF9"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1.449</w:t>
            </w:r>
          </w:p>
        </w:tc>
        <w:tc>
          <w:tcPr>
            <w:tcW w:w="1131" w:type="dxa"/>
            <w:hideMark/>
          </w:tcPr>
          <w:p w14:paraId="67F31C53"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0.569</w:t>
            </w:r>
          </w:p>
        </w:tc>
        <w:tc>
          <w:tcPr>
            <w:tcW w:w="0" w:type="auto"/>
            <w:hideMark/>
          </w:tcPr>
          <w:p w14:paraId="74927C22" w14:textId="77777777" w:rsidR="00C023D2" w:rsidRPr="00074369" w:rsidRDefault="00C023D2" w:rsidP="00B47870">
            <w:pPr>
              <w:spacing w:after="0" w:line="240" w:lineRule="auto"/>
              <w:jc w:val="right"/>
              <w:rPr>
                <w:rFonts w:asciiTheme="minorHAnsi" w:hAnsiTheme="minorHAnsi"/>
                <w:szCs w:val="20"/>
              </w:rPr>
            </w:pPr>
            <w:r w:rsidRPr="00074369">
              <w:rPr>
                <w:szCs w:val="20"/>
              </w:rPr>
              <w:t>0</w:t>
            </w:r>
            <w:r w:rsidRPr="00074369">
              <w:rPr>
                <w:rFonts w:asciiTheme="minorHAnsi" w:hAnsiTheme="minorHAnsi" w:cstheme="minorHAnsi"/>
                <w:szCs w:val="20"/>
              </w:rPr>
              <w:t>.3</w:t>
            </w:r>
          </w:p>
        </w:tc>
        <w:tc>
          <w:tcPr>
            <w:tcW w:w="826" w:type="dxa"/>
            <w:hideMark/>
          </w:tcPr>
          <w:p w14:paraId="32B11857"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2.6</w:t>
            </w:r>
          </w:p>
        </w:tc>
      </w:tr>
      <w:tr w:rsidR="00C023D2" w:rsidRPr="00074369" w14:paraId="2A8240AF"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003AA30" w14:textId="77777777" w:rsidR="00C023D2" w:rsidRPr="00074369" w:rsidRDefault="00C023D2" w:rsidP="00B47870">
            <w:pPr>
              <w:spacing w:after="0" w:line="240" w:lineRule="auto"/>
              <w:jc w:val="left"/>
              <w:rPr>
                <w:rFonts w:asciiTheme="minorHAnsi" w:hAnsiTheme="minorHAnsi"/>
                <w:szCs w:val="20"/>
              </w:rPr>
            </w:pPr>
            <w:r w:rsidRPr="00074369">
              <w:rPr>
                <w:szCs w:val="20"/>
              </w:rPr>
              <w:t>INGRESO</w:t>
            </w:r>
          </w:p>
        </w:tc>
        <w:tc>
          <w:tcPr>
            <w:tcW w:w="3360" w:type="dxa"/>
            <w:hideMark/>
          </w:tcPr>
          <w:p w14:paraId="67A4D152" w14:textId="77777777" w:rsidR="00C023D2" w:rsidRPr="00074369" w:rsidRDefault="00C023D2" w:rsidP="00B47870">
            <w:pPr>
              <w:spacing w:after="0" w:line="240" w:lineRule="auto"/>
              <w:jc w:val="left"/>
              <w:rPr>
                <w:rFonts w:asciiTheme="minorHAnsi" w:hAnsiTheme="minorHAnsi"/>
                <w:szCs w:val="20"/>
              </w:rPr>
            </w:pPr>
            <w:r w:rsidRPr="00074369">
              <w:rPr>
                <w:szCs w:val="20"/>
              </w:rPr>
              <w:t>Ingreso per cápita (</w:t>
            </w:r>
            <w:r w:rsidRPr="00074369">
              <w:rPr>
                <w:rFonts w:asciiTheme="minorHAnsi" w:hAnsiTheme="minorHAnsi" w:cstheme="minorHAnsi"/>
                <w:szCs w:val="20"/>
              </w:rPr>
              <w:t xml:space="preserve">miles de </w:t>
            </w:r>
            <w:r w:rsidRPr="00074369">
              <w:rPr>
                <w:szCs w:val="20"/>
              </w:rPr>
              <w:t>soles por persona)</w:t>
            </w:r>
          </w:p>
        </w:tc>
        <w:tc>
          <w:tcPr>
            <w:tcW w:w="766" w:type="dxa"/>
            <w:hideMark/>
          </w:tcPr>
          <w:p w14:paraId="38FF277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1.252</w:t>
            </w:r>
          </w:p>
        </w:tc>
        <w:tc>
          <w:tcPr>
            <w:tcW w:w="1131" w:type="dxa"/>
            <w:hideMark/>
          </w:tcPr>
          <w:p w14:paraId="2F9A7AB8"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213</w:t>
            </w:r>
          </w:p>
        </w:tc>
        <w:tc>
          <w:tcPr>
            <w:tcW w:w="0" w:type="auto"/>
            <w:hideMark/>
          </w:tcPr>
          <w:p w14:paraId="5462A0EF"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0.9</w:t>
            </w:r>
          </w:p>
        </w:tc>
        <w:tc>
          <w:tcPr>
            <w:tcW w:w="826" w:type="dxa"/>
            <w:hideMark/>
          </w:tcPr>
          <w:p w14:paraId="66C4E49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.6</w:t>
            </w:r>
          </w:p>
        </w:tc>
      </w:tr>
      <w:tr w:rsidR="00C023D2" w:rsidRPr="00074369" w14:paraId="13763F64"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1F84C8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VIAJES</w:t>
            </w:r>
          </w:p>
        </w:tc>
        <w:tc>
          <w:tcPr>
            <w:tcW w:w="3360" w:type="dxa"/>
            <w:hideMark/>
          </w:tcPr>
          <w:p w14:paraId="0D9C671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Número de viajes hacia el distrito (millones de viajes)</w:t>
            </w:r>
          </w:p>
        </w:tc>
        <w:tc>
          <w:tcPr>
            <w:tcW w:w="766" w:type="dxa"/>
            <w:hideMark/>
          </w:tcPr>
          <w:p w14:paraId="442B3F29"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1.962</w:t>
            </w:r>
          </w:p>
        </w:tc>
        <w:tc>
          <w:tcPr>
            <w:tcW w:w="1131" w:type="dxa"/>
            <w:hideMark/>
          </w:tcPr>
          <w:p w14:paraId="4A22DA04"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1.396</w:t>
            </w:r>
          </w:p>
        </w:tc>
        <w:tc>
          <w:tcPr>
            <w:tcW w:w="0" w:type="auto"/>
            <w:hideMark/>
          </w:tcPr>
          <w:p w14:paraId="3612A84A"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0.3</w:t>
            </w:r>
          </w:p>
        </w:tc>
        <w:tc>
          <w:tcPr>
            <w:tcW w:w="826" w:type="dxa"/>
            <w:hideMark/>
          </w:tcPr>
          <w:p w14:paraId="04CEFAC0"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5.4</w:t>
            </w:r>
          </w:p>
        </w:tc>
      </w:tr>
    </w:tbl>
    <w:p w14:paraId="3A6A962D" w14:textId="77777777" w:rsidR="00C023D2" w:rsidRPr="00074369" w:rsidRDefault="00C023D2" w:rsidP="00C023D2">
      <w:pPr>
        <w:pStyle w:val="Fuente"/>
      </w:pPr>
      <w:r w:rsidRPr="00074369">
        <w:t>Fuente: Elaboración propia, 2019</w:t>
      </w:r>
    </w:p>
    <w:p w14:paraId="49A1D9B7" w14:textId="77777777" w:rsidR="00C023D2" w:rsidRPr="00074369" w:rsidRDefault="00C023D2" w:rsidP="00C023D2"/>
    <w:p w14:paraId="082E586E" w14:textId="77777777" w:rsidR="00C023D2" w:rsidRPr="00074369" w:rsidRDefault="00C023D2">
      <w:pPr>
        <w:spacing w:after="200" w:line="276" w:lineRule="auto"/>
        <w:jc w:val="left"/>
        <w:rPr>
          <w:b/>
        </w:rPr>
      </w:pPr>
      <w:r w:rsidRPr="00074369">
        <w:br w:type="page"/>
      </w:r>
    </w:p>
    <w:p w14:paraId="698C2E5B" w14:textId="48627599" w:rsidR="00CD6BB4" w:rsidRPr="00074369" w:rsidRDefault="00CD6BB4" w:rsidP="00CD6BB4">
      <w:pPr>
        <w:pStyle w:val="Ttulo2"/>
        <w:numPr>
          <w:ilvl w:val="1"/>
          <w:numId w:val="0"/>
        </w:numPr>
      </w:pPr>
      <w:bookmarkStart w:id="206" w:name="_Toc11179128"/>
      <w:commentRangeStart w:id="207"/>
      <w:r w:rsidRPr="00074369">
        <w:lastRenderedPageBreak/>
        <w:t xml:space="preserve">Anexo </w:t>
      </w:r>
      <w:r w:rsidR="00B14F8E">
        <w:t>3</w:t>
      </w:r>
      <w:r w:rsidRPr="00074369">
        <w:t xml:space="preserve">: </w:t>
      </w:r>
      <w:r w:rsidR="007C15C8" w:rsidRPr="00074369">
        <w:t>Correlación entre características observables de las estaciones y precios en corte transversal</w:t>
      </w:r>
      <w:bookmarkEnd w:id="206"/>
      <w:r w:rsidR="007C15C8" w:rsidRPr="00074369">
        <w:t xml:space="preserve"> </w:t>
      </w:r>
      <w:commentRangeEnd w:id="207"/>
      <w:r w:rsidR="00CC0ED4">
        <w:rPr>
          <w:rStyle w:val="Refdecomentario"/>
          <w:b w:val="0"/>
        </w:rPr>
        <w:commentReference w:id="207"/>
      </w:r>
    </w:p>
    <w:p w14:paraId="7D82F4F7" w14:textId="29CC137A" w:rsidR="00E5407A" w:rsidRDefault="009D474E" w:rsidP="00E5407A">
      <w:r>
        <w:t>S</w:t>
      </w:r>
      <w:r w:rsidR="008D6083" w:rsidRPr="00074369">
        <w:t xml:space="preserve">e presentan estimaciones por corte transversal tres y seis meses antes y después de la </w:t>
      </w:r>
      <w:r>
        <w:t>adquisición de las estaciones Pecsa para determinar la relación entre características observables de las estaciones y los precios</w:t>
      </w:r>
      <w:r w:rsidR="008D6083" w:rsidRPr="00074369">
        <w:t>.</w:t>
      </w:r>
      <w:r w:rsidR="00AB71B2">
        <w:t xml:space="preserve"> </w:t>
      </w:r>
      <w:r w:rsidR="00E5407A">
        <w:t xml:space="preserve">Sin embargo, estos estimados deben ser analizados con cuidado y sin realizar inferencias de causalidad, ya que pueden existir factores que afecten tanto a los precios como a las variables de interés y que no sean medidos, dando como resultado estimados sesgados. Por ejemplo, el número de personas que viajan en auto por una vía diariamente podría generar que en el tiempo exista mayor cantidad de estaciones a lo largo de esa ruta, y a su vez, si la cantidad de viajes en auto en una ruta es elevada, podría generar menores diferenciales de precios a lo largo de la ruta, tal como argumenta </w:t>
      </w:r>
      <w:proofErr w:type="spellStart"/>
      <w:r w:rsidR="00E5407A">
        <w:t>Houde</w:t>
      </w:r>
      <w:proofErr w:type="spellEnd"/>
      <w:r w:rsidR="00E5407A">
        <w:t xml:space="preserve"> </w:t>
      </w:r>
      <w:r w:rsidR="00E5407A">
        <w:fldChar w:fldCharType="begin"/>
      </w:r>
      <w:r w:rsidR="006F6D84">
        <w:instrText xml:space="preserve"> ADDIN ZOTERO_ITEM CSL_CITATION {"citationID":"DWrS1nne","properties":{"formattedCitation":"(2012)","plainCitation":"(2012)","noteIndex":0},"citationItems":[{"id":593,"uris":["http://zotero.org/groups/2269288/items/74NWKGC3"],"uri":["http://zotero.org/groups/2269288/items/74NWKGC3"],"itemData":{"id":593,"type":"article-journal","container-title":"American Economic Review","DOI":"10.1257/aer.102.5.2147","ISSN":"0002-8282","issue":"5","language":"en","note":"Citation Key: houdeSpatialDifferentiationVertical2012","page":"2147-2182","source":"Crossref","title":"Spatial Differentiation and Vertical Mergers in Retail Markets for Gasoline","volume":"102","author":[{"family":"Houde","given":"Jean-François"}],"issued":{"date-parts":[["2012",8]]}},"suppress-author":true}],"schema":"https://github.com/citation-style-language/schema/raw/master/csl-citation.json"} </w:instrText>
      </w:r>
      <w:r w:rsidR="00E5407A">
        <w:fldChar w:fldCharType="separate"/>
      </w:r>
      <w:r w:rsidR="00355C59" w:rsidRPr="00355C59">
        <w:rPr>
          <w:rFonts w:ascii="Times New Roman" w:hAnsi="Times New Roman"/>
        </w:rPr>
        <w:t>(2012)</w:t>
      </w:r>
      <w:r w:rsidR="00E5407A">
        <w:fldChar w:fldCharType="end"/>
      </w:r>
      <w:r w:rsidR="00E5407A">
        <w:t xml:space="preserve">. En este caso, tenemos una variable omitida que sesgaría el coeficiente estimado </w:t>
      </w:r>
      <w:r w:rsidR="00BF518C">
        <w:t>al menos para</w:t>
      </w:r>
      <w:r w:rsidR="00E5407A">
        <w:t xml:space="preserve"> el número de estaciones vecinas.</w:t>
      </w:r>
    </w:p>
    <w:p w14:paraId="55C0D8EE" w14:textId="73F07810" w:rsidR="008D6083" w:rsidRPr="00074369" w:rsidRDefault="007F54E5" w:rsidP="008D6083">
      <w:r>
        <w:t>Consideremos como punto de partida la siguiente ecuación:</w:t>
      </w:r>
    </w:p>
    <w:p w14:paraId="624F0C7C" w14:textId="21CC0CE9" w:rsidR="008D6083" w:rsidRPr="00074369" w:rsidRDefault="00F256B3" w:rsidP="008D6083">
      <w:pPr>
        <w:jc w:val="center"/>
      </w:pPr>
      <m:oMathPara>
        <m:oMath>
          <m:r>
            <w:rPr>
              <w:rFonts w:ascii="Cambria Math" w:hAnsi="Cambria Math"/>
            </w:rPr>
            <m:t>p_it</m:t>
          </m:r>
          <m:r>
            <w:rPr>
              <w:rFonts w:ascii="Cambria Math" w:hAnsi="Cambria Math"/>
            </w:rPr>
            <m:t>=</m:t>
          </m:r>
          <m:r>
            <w:rPr>
              <w:rFonts w:ascii="Cambria Math" w:hAnsi="Cambria Math"/>
            </w:rPr>
            <m:t>α_t</m:t>
          </m:r>
          <m:r>
            <w:rPr>
              <w:rFonts w:ascii="Cambria Math" w:hAnsi="Cambria Math"/>
            </w:rPr>
            <m:t>+</m:t>
          </m:r>
          <m:r>
            <w:rPr>
              <w:rFonts w:ascii="Cambria Math" w:hAnsi="Cambria Math"/>
            </w:rPr>
            <m:t>β_t X_it</m:t>
          </m:r>
          <m:r>
            <w:rPr>
              <w:rFonts w:ascii="Cambria Math" w:hAnsi="Cambria Math"/>
            </w:rPr>
            <m:t>+</m:t>
          </m:r>
          <m:r>
            <w:rPr>
              <w:rFonts w:ascii="Cambria Math" w:hAnsi="Cambria Math"/>
            </w:rPr>
            <m:t>u_it</m:t>
          </m:r>
        </m:oMath>
      </m:oMathPara>
    </w:p>
    <w:p w14:paraId="0B72955D" w14:textId="07EF41D3" w:rsidR="00E5407A" w:rsidRDefault="00BF518C" w:rsidP="00E5407A">
      <w:r>
        <w:t>d</w:t>
      </w:r>
      <w:r w:rsidR="008D6083" w:rsidRPr="00074369">
        <w:t xml:space="preserve">onde </w:t>
      </w:r>
      <m:oMath>
        <m:r>
          <w:rPr>
            <w:rFonts w:ascii="Cambria Math" w:hAnsi="Cambria Math"/>
          </w:rPr>
          <m:t>p_it</m:t>
        </m:r>
      </m:oMath>
      <w:r w:rsidR="008D6083" w:rsidRPr="00074369">
        <w:t xml:space="preserve"> es el precio del combustible en la estación </w:t>
      </w:r>
      <m:oMath>
        <m:r>
          <w:rPr>
            <w:rFonts w:ascii="Cambria Math" w:hAnsi="Cambria Math"/>
          </w:rPr>
          <m:t>i</m:t>
        </m:r>
      </m:oMath>
      <w:r w:rsidR="008D6083" w:rsidRPr="00074369">
        <w:t xml:space="preserve"> en el periodo </w:t>
      </w:r>
      <m:oMath>
        <m:r>
          <w:rPr>
            <w:rFonts w:ascii="Cambria Math" w:hAnsi="Cambria Math"/>
          </w:rPr>
          <m:t>t</m:t>
        </m:r>
      </m:oMath>
      <w:r w:rsidR="008D6083" w:rsidRPr="00074369">
        <w:t xml:space="preserve"> (se realizan las mismas estimaciones para diésel y gasohol de 90 octanos), </w:t>
      </w:r>
      <m:oMath>
        <m:r>
          <w:rPr>
            <w:rFonts w:ascii="Cambria Math" w:hAnsi="Cambria Math"/>
          </w:rPr>
          <m:t>α_t</m:t>
        </m:r>
      </m:oMath>
      <w:r w:rsidR="008D6083" w:rsidRPr="00074369">
        <w:t xml:space="preserve"> es la constante en el período </w:t>
      </w:r>
      <m:oMath>
        <m:r>
          <w:rPr>
            <w:rFonts w:ascii="Cambria Math" w:hAnsi="Cambria Math"/>
          </w:rPr>
          <m:t>t</m:t>
        </m:r>
      </m:oMath>
      <w:r w:rsidR="008D6083" w:rsidRPr="00074369">
        <w:t xml:space="preserve">, </w:t>
      </w:r>
      <m:oMath>
        <m:r>
          <w:rPr>
            <w:rFonts w:ascii="Cambria Math" w:hAnsi="Cambria Math"/>
          </w:rPr>
          <m:t>X_it</m:t>
        </m:r>
      </m:oMath>
      <w:r w:rsidR="008D6083" w:rsidRPr="00074369">
        <w:t xml:space="preserve"> contiene las variables descritas en el </w:t>
      </w:r>
      <w:r w:rsidR="008C47A7">
        <w:t>Anexo 2</w:t>
      </w:r>
      <w:r w:rsidR="00E5407A">
        <w:t xml:space="preserve">. </w:t>
      </w:r>
      <w:r w:rsidR="00E5407A">
        <w:rPr>
          <w:lang w:val="es-ES"/>
        </w:rPr>
        <w:t xml:space="preserve">Los parámetros de interés son los coeficientes </w:t>
      </w:r>
      <w:r w:rsidR="00E5407A" w:rsidRPr="00AB71B2">
        <w:rPr>
          <w:lang w:val="es-ES"/>
        </w:rPr>
        <w:t xml:space="preserve">de agrupamiento espacial, que al igual que en  </w:t>
      </w:r>
      <w:proofErr w:type="spellStart"/>
      <w:r w:rsidR="00E5407A" w:rsidRPr="00AB71B2">
        <w:t>Pennerstorfer</w:t>
      </w:r>
      <w:proofErr w:type="spellEnd"/>
      <w:r w:rsidR="00E5407A" w:rsidRPr="00AB71B2">
        <w:t xml:space="preserve"> y Weiss </w:t>
      </w:r>
      <w:r w:rsidR="00E5407A" w:rsidRPr="00AB71B2">
        <w:fldChar w:fldCharType="begin"/>
      </w:r>
      <w:r w:rsidR="006F6D84">
        <w:instrText xml:space="preserve"> ADDIN ZOTERO_ITEM CSL_CITATION {"citationID":"XiUgHGAF","properties":{"formattedCitation":"(2013)","plainCitation":"(2013)","noteIndex":0},"citationItems":[{"id":684,"uris":["http://zotero.org/groups/2269288/items/2IBPVQGE"],"uri":["http://zotero.org/groups/2269288/items/2IBPVQGE"],"itemData":{"id":684,"type":"article-journal","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effects.","container-title":"Regional Science and Urban Economics","DOI":"10.1016/j.regsciurbeco.2013.04.002","ISSN":"0166-0462","issue":"4","journalAbbreviation":"Regional Science and Urban Economics","note":"Citation Key: pennerstorferSpatialClusteringMarket2013","page":"661-675","source":"ScienceDirect","title":"Spatial clustering and market power: Evidence from the retail gasoline market","title-short":"Spatial clustering and market power","volume":"43","author":[{"family":"Pennerstorfer","given":"Dieter"},{"family":"Weiss","given":"Christoph"}],"issued":{"date-parts":[["2013",7,1]]}},"suppress-author":true}],"schema":"https://github.com/citation-style-language/schema/raw/master/csl-citation.json"} </w:instrText>
      </w:r>
      <w:r w:rsidR="00E5407A" w:rsidRPr="00AB71B2">
        <w:fldChar w:fldCharType="separate"/>
      </w:r>
      <w:r w:rsidR="00355C59" w:rsidRPr="00355C59">
        <w:rPr>
          <w:rFonts w:ascii="Times New Roman" w:hAnsi="Times New Roman"/>
        </w:rPr>
        <w:t>(2013)</w:t>
      </w:r>
      <w:r w:rsidR="00E5407A" w:rsidRPr="00AB71B2">
        <w:fldChar w:fldCharType="end"/>
      </w:r>
      <w:r w:rsidR="00E5407A" w:rsidRPr="00AB71B2">
        <w:t xml:space="preserve"> se espera sea positivo</w:t>
      </w:r>
      <w:r w:rsidR="00E5407A">
        <w:t xml:space="preserve">, el número de estaciones de cercanas, que se espera sea negativo y los coeficientes asociados a las dummies por tipo de estación podrán indicar la correlación entre el precio y el modelo de operación que sigue la misma (propia, abanderada e independiente). Los resultados de la estimación por MCO </w:t>
      </w:r>
      <w:r w:rsidR="00E5407A" w:rsidRPr="00074369">
        <w:t xml:space="preserve">se muestran en las tablas </w:t>
      </w:r>
      <w:r w:rsidR="00E5407A" w:rsidRPr="00074369">
        <w:fldChar w:fldCharType="begin"/>
      </w:r>
      <w:r w:rsidR="00E5407A" w:rsidRPr="00074369">
        <w:instrText xml:space="preserve"> REF _Ref9167006 \# 0 \h </w:instrText>
      </w:r>
      <w:r w:rsidR="00E5407A" w:rsidRPr="00074369">
        <w:fldChar w:fldCharType="separate"/>
      </w:r>
      <w:r w:rsidR="004C0429">
        <w:t>11</w:t>
      </w:r>
      <w:r w:rsidR="00E5407A" w:rsidRPr="00074369">
        <w:fldChar w:fldCharType="end"/>
      </w:r>
      <w:r w:rsidR="00E5407A" w:rsidRPr="00074369">
        <w:t xml:space="preserve"> y </w:t>
      </w:r>
      <w:r w:rsidR="00E5407A" w:rsidRPr="00074369">
        <w:fldChar w:fldCharType="begin"/>
      </w:r>
      <w:r w:rsidR="00E5407A" w:rsidRPr="00074369">
        <w:instrText xml:space="preserve"> REF _Ref9167008 \# 0 \h </w:instrText>
      </w:r>
      <w:r w:rsidR="00E5407A" w:rsidRPr="00074369">
        <w:fldChar w:fldCharType="separate"/>
      </w:r>
      <w:r w:rsidR="004C0429">
        <w:t>12</w:t>
      </w:r>
      <w:r w:rsidR="00E5407A" w:rsidRPr="00074369">
        <w:fldChar w:fldCharType="end"/>
      </w:r>
      <w:r w:rsidR="00E5407A" w:rsidRPr="00074369">
        <w:t>.</w:t>
      </w:r>
    </w:p>
    <w:p w14:paraId="077334FF" w14:textId="4CAA648B" w:rsidR="00CD6BB4" w:rsidRPr="00074369" w:rsidRDefault="00CD6BB4" w:rsidP="00CD6BB4">
      <w:pPr>
        <w:pStyle w:val="Descripcin"/>
      </w:pPr>
      <w:bookmarkStart w:id="208" w:name="_Ref9167006"/>
      <w:bookmarkStart w:id="209" w:name="_Toc9171800"/>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11</w:t>
      </w:r>
      <w:r w:rsidRPr="00074369">
        <w:fldChar w:fldCharType="end"/>
      </w:r>
      <w:bookmarkEnd w:id="208"/>
      <w:r w:rsidRPr="00074369">
        <w:t>: Resultados de regresión lineal por MCO - Combustible Diésel DB5-S50</w:t>
      </w:r>
      <w:bookmarkEnd w:id="209"/>
    </w:p>
    <w:tbl>
      <w:tblPr>
        <w:tblStyle w:val="tesis"/>
        <w:tblW w:w="8493" w:type="dxa"/>
        <w:tblLook w:val="04A0" w:firstRow="1" w:lastRow="0" w:firstColumn="1" w:lastColumn="0" w:noHBand="0" w:noVBand="1"/>
      </w:tblPr>
      <w:tblGrid>
        <w:gridCol w:w="1697"/>
        <w:gridCol w:w="1519"/>
        <w:gridCol w:w="1689"/>
        <w:gridCol w:w="1731"/>
        <w:gridCol w:w="216"/>
        <w:gridCol w:w="1641"/>
      </w:tblGrid>
      <w:tr w:rsidR="00CD6BB4" w:rsidRPr="00074369" w14:paraId="1312B07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27E92E39" w14:textId="77777777" w:rsidR="00CD6BB4" w:rsidRPr="00074369" w:rsidRDefault="00CD6BB4" w:rsidP="007C15C8">
            <w:pPr>
              <w:spacing w:after="0" w:line="240" w:lineRule="auto"/>
              <w:jc w:val="center"/>
              <w:rPr>
                <w:rFonts w:asciiTheme="minorHAnsi" w:hAnsiTheme="minorHAnsi"/>
              </w:rPr>
            </w:pPr>
          </w:p>
        </w:tc>
        <w:tc>
          <w:tcPr>
            <w:tcW w:w="1519" w:type="dxa"/>
            <w:tcBorders>
              <w:bottom w:val="single" w:sz="6" w:space="0" w:color="auto"/>
            </w:tcBorders>
            <w:hideMark/>
          </w:tcPr>
          <w:p w14:paraId="379F12C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Ago-17</w:t>
            </w:r>
          </w:p>
        </w:tc>
        <w:tc>
          <w:tcPr>
            <w:tcW w:w="1689" w:type="dxa"/>
            <w:tcBorders>
              <w:bottom w:val="single" w:sz="6" w:space="0" w:color="auto"/>
            </w:tcBorders>
            <w:hideMark/>
          </w:tcPr>
          <w:p w14:paraId="6C9F4BF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1731" w:type="dxa"/>
            <w:tcBorders>
              <w:bottom w:val="single" w:sz="6" w:space="0" w:color="auto"/>
            </w:tcBorders>
            <w:hideMark/>
          </w:tcPr>
          <w:p w14:paraId="3632BC2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1857" w:type="dxa"/>
            <w:gridSpan w:val="2"/>
            <w:tcBorders>
              <w:bottom w:val="single" w:sz="6" w:space="0" w:color="auto"/>
            </w:tcBorders>
            <w:hideMark/>
          </w:tcPr>
          <w:p w14:paraId="53698B5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686B968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4F09943C"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Abanderada Petroperú</w:t>
            </w:r>
          </w:p>
        </w:tc>
        <w:tc>
          <w:tcPr>
            <w:tcW w:w="1519" w:type="dxa"/>
            <w:tcBorders>
              <w:top w:val="single" w:sz="6" w:space="0" w:color="auto"/>
            </w:tcBorders>
            <w:hideMark/>
          </w:tcPr>
          <w:p w14:paraId="3D88A00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0.110 (0.082)</w:t>
            </w:r>
          </w:p>
        </w:tc>
        <w:tc>
          <w:tcPr>
            <w:tcW w:w="1689" w:type="dxa"/>
            <w:tcBorders>
              <w:top w:val="single" w:sz="6" w:space="0" w:color="auto"/>
            </w:tcBorders>
            <w:hideMark/>
          </w:tcPr>
          <w:p w14:paraId="3D712642"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0.027 (0.083)</w:t>
            </w:r>
          </w:p>
        </w:tc>
        <w:tc>
          <w:tcPr>
            <w:tcW w:w="1947" w:type="dxa"/>
            <w:gridSpan w:val="2"/>
            <w:tcBorders>
              <w:top w:val="single" w:sz="6" w:space="0" w:color="auto"/>
            </w:tcBorders>
            <w:hideMark/>
          </w:tcPr>
          <w:p w14:paraId="38D57E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0.094 (0.073)</w:t>
            </w:r>
          </w:p>
        </w:tc>
        <w:tc>
          <w:tcPr>
            <w:tcW w:w="1641" w:type="dxa"/>
            <w:tcBorders>
              <w:top w:val="single" w:sz="6" w:space="0" w:color="auto"/>
            </w:tcBorders>
            <w:hideMark/>
          </w:tcPr>
          <w:p w14:paraId="715F19B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0.113 (0.078)</w:t>
            </w:r>
          </w:p>
        </w:tc>
      </w:tr>
      <w:tr w:rsidR="00CD6BB4" w:rsidRPr="00074369" w14:paraId="0B41DF4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7B2A8A"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Pecsa</w:t>
            </w:r>
          </w:p>
        </w:tc>
        <w:tc>
          <w:tcPr>
            <w:tcW w:w="1519" w:type="dxa"/>
            <w:hideMark/>
          </w:tcPr>
          <w:p w14:paraId="4A1BB40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095</w:t>
            </w:r>
            <w:r w:rsidRPr="00074369">
              <w:t>)</w:t>
            </w:r>
          </w:p>
        </w:tc>
        <w:tc>
          <w:tcPr>
            <w:tcW w:w="1689" w:type="dxa"/>
            <w:hideMark/>
          </w:tcPr>
          <w:p w14:paraId="23D5ED0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255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095</w:t>
            </w:r>
            <w:r w:rsidRPr="00074369">
              <w:t>)</w:t>
            </w:r>
          </w:p>
        </w:tc>
        <w:tc>
          <w:tcPr>
            <w:tcW w:w="1947" w:type="dxa"/>
            <w:gridSpan w:val="2"/>
            <w:hideMark/>
          </w:tcPr>
          <w:p w14:paraId="60F2DB6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084</w:t>
            </w:r>
            <w:r w:rsidRPr="00074369">
              <w:t>)</w:t>
            </w:r>
          </w:p>
        </w:tc>
        <w:tc>
          <w:tcPr>
            <w:tcW w:w="1641" w:type="dxa"/>
            <w:hideMark/>
          </w:tcPr>
          <w:p w14:paraId="5FD86259"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239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089</w:t>
            </w:r>
            <w:r w:rsidRPr="00074369">
              <w:t>)</w:t>
            </w:r>
          </w:p>
        </w:tc>
      </w:tr>
      <w:tr w:rsidR="00CD6BB4" w:rsidRPr="00074369" w14:paraId="58CDEC31"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920672F"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Primax</w:t>
            </w:r>
          </w:p>
        </w:tc>
        <w:tc>
          <w:tcPr>
            <w:tcW w:w="1519" w:type="dxa"/>
            <w:hideMark/>
          </w:tcPr>
          <w:p w14:paraId="6B236A9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350</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070</w:t>
            </w:r>
            <w:r w:rsidRPr="00074369">
              <w:t>)</w:t>
            </w:r>
          </w:p>
        </w:tc>
        <w:tc>
          <w:tcPr>
            <w:tcW w:w="1689" w:type="dxa"/>
            <w:hideMark/>
          </w:tcPr>
          <w:p w14:paraId="48BCE7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389</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072</w:t>
            </w:r>
            <w:r w:rsidRPr="00074369">
              <w:t>)</w:t>
            </w:r>
          </w:p>
        </w:tc>
        <w:tc>
          <w:tcPr>
            <w:tcW w:w="1947" w:type="dxa"/>
            <w:gridSpan w:val="2"/>
            <w:hideMark/>
          </w:tcPr>
          <w:p w14:paraId="12122E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341</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063</w:t>
            </w:r>
            <w:r w:rsidRPr="00074369">
              <w:t>)</w:t>
            </w:r>
          </w:p>
        </w:tc>
        <w:tc>
          <w:tcPr>
            <w:tcW w:w="1641" w:type="dxa"/>
            <w:hideMark/>
          </w:tcPr>
          <w:p w14:paraId="5E936D1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423</w:t>
            </w:r>
            <w:r w:rsidRPr="00074369">
              <w:rPr>
                <w:vertAlign w:val="superscript"/>
              </w:rPr>
              <w:t>***</w:t>
            </w:r>
            <w:r w:rsidRPr="00074369">
              <w:t> (0.</w:t>
            </w:r>
            <w:r w:rsidRPr="00074369">
              <w:rPr>
                <w:rFonts w:asciiTheme="minorHAnsi" w:hAnsiTheme="minorHAnsi" w:cstheme="minorHAnsi"/>
                <w:szCs w:val="20"/>
              </w:rPr>
              <w:t>067</w:t>
            </w:r>
            <w:r w:rsidRPr="00074369">
              <w:t>)</w:t>
            </w:r>
          </w:p>
        </w:tc>
      </w:tr>
      <w:tr w:rsidR="00CD6BB4" w:rsidRPr="00074369" w14:paraId="4ED6F87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EAFAE6"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Repsol</w:t>
            </w:r>
          </w:p>
        </w:tc>
        <w:tc>
          <w:tcPr>
            <w:tcW w:w="1519" w:type="dxa"/>
            <w:hideMark/>
          </w:tcPr>
          <w:p w14:paraId="47A8475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249</w:t>
            </w:r>
            <w:r w:rsidRPr="00074369">
              <w:rPr>
                <w:vertAlign w:val="superscript"/>
              </w:rPr>
              <w:t>***</w:t>
            </w:r>
            <w:r w:rsidRPr="00074369">
              <w:t> (0.</w:t>
            </w:r>
            <w:r w:rsidRPr="00074369">
              <w:rPr>
                <w:rFonts w:asciiTheme="minorHAnsi" w:hAnsiTheme="minorHAnsi" w:cstheme="minorHAnsi"/>
                <w:szCs w:val="20"/>
              </w:rPr>
              <w:t>077</w:t>
            </w:r>
            <w:r w:rsidRPr="00074369">
              <w:t>)</w:t>
            </w:r>
          </w:p>
        </w:tc>
        <w:tc>
          <w:tcPr>
            <w:tcW w:w="1689" w:type="dxa"/>
            <w:hideMark/>
          </w:tcPr>
          <w:p w14:paraId="1DC66D5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381</w:t>
            </w:r>
            <w:r w:rsidRPr="00074369">
              <w:rPr>
                <w:vertAlign w:val="superscript"/>
              </w:rPr>
              <w:t>***</w:t>
            </w:r>
            <w:r w:rsidRPr="00074369">
              <w:t> (0.</w:t>
            </w:r>
            <w:r w:rsidRPr="00074369">
              <w:rPr>
                <w:rFonts w:asciiTheme="minorHAnsi" w:hAnsiTheme="minorHAnsi" w:cstheme="minorHAnsi"/>
                <w:szCs w:val="20"/>
              </w:rPr>
              <w:t>078</w:t>
            </w:r>
            <w:r w:rsidRPr="00074369">
              <w:t>)</w:t>
            </w:r>
          </w:p>
        </w:tc>
        <w:tc>
          <w:tcPr>
            <w:tcW w:w="1947" w:type="dxa"/>
            <w:gridSpan w:val="2"/>
            <w:hideMark/>
          </w:tcPr>
          <w:p w14:paraId="605E539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069</w:t>
            </w:r>
            <w:r w:rsidRPr="00074369">
              <w:t>)</w:t>
            </w:r>
          </w:p>
        </w:tc>
        <w:tc>
          <w:tcPr>
            <w:tcW w:w="1641" w:type="dxa"/>
            <w:hideMark/>
          </w:tcPr>
          <w:p w14:paraId="1DB89FC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073</w:t>
            </w:r>
            <w:r w:rsidRPr="00074369">
              <w:t>)</w:t>
            </w:r>
          </w:p>
        </w:tc>
      </w:tr>
      <w:tr w:rsidR="00CD6BB4" w:rsidRPr="00074369" w14:paraId="354D5DB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8072FF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Propia Pecsa</w:t>
            </w:r>
          </w:p>
        </w:tc>
        <w:tc>
          <w:tcPr>
            <w:tcW w:w="1519" w:type="dxa"/>
            <w:hideMark/>
          </w:tcPr>
          <w:p w14:paraId="36C81A2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075 </w:t>
            </w:r>
            <w:r w:rsidRPr="00074369">
              <w:t>(0.</w:t>
            </w:r>
            <w:r w:rsidRPr="00074369">
              <w:rPr>
                <w:rFonts w:asciiTheme="minorHAnsi" w:hAnsiTheme="minorHAnsi" w:cstheme="minorHAnsi"/>
                <w:szCs w:val="20"/>
              </w:rPr>
              <w:t>102</w:t>
            </w:r>
            <w:r w:rsidRPr="00074369">
              <w:t>)</w:t>
            </w:r>
          </w:p>
        </w:tc>
        <w:tc>
          <w:tcPr>
            <w:tcW w:w="1689" w:type="dxa"/>
            <w:hideMark/>
          </w:tcPr>
          <w:p w14:paraId="35A03AF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142 </w:t>
            </w:r>
            <w:r w:rsidRPr="00074369">
              <w:t>(0.</w:t>
            </w:r>
            <w:r w:rsidRPr="00074369">
              <w:rPr>
                <w:rFonts w:asciiTheme="minorHAnsi" w:hAnsiTheme="minorHAnsi" w:cstheme="minorHAnsi"/>
                <w:szCs w:val="20"/>
              </w:rPr>
              <w:t>104</w:t>
            </w:r>
            <w:r w:rsidRPr="00074369">
              <w:t>)</w:t>
            </w:r>
          </w:p>
        </w:tc>
        <w:tc>
          <w:tcPr>
            <w:tcW w:w="1947" w:type="dxa"/>
            <w:gridSpan w:val="2"/>
            <w:hideMark/>
          </w:tcPr>
          <w:p w14:paraId="5F01CAD3"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006 </w:t>
            </w:r>
            <w:r w:rsidRPr="00074369">
              <w:t>(0.</w:t>
            </w:r>
            <w:r w:rsidRPr="00074369">
              <w:rPr>
                <w:rFonts w:asciiTheme="minorHAnsi" w:hAnsiTheme="minorHAnsi" w:cstheme="minorHAnsi"/>
                <w:szCs w:val="20"/>
              </w:rPr>
              <w:t>092</w:t>
            </w:r>
            <w:r w:rsidRPr="00074369">
              <w:t>)</w:t>
            </w:r>
          </w:p>
        </w:tc>
        <w:tc>
          <w:tcPr>
            <w:tcW w:w="1641" w:type="dxa"/>
            <w:hideMark/>
          </w:tcPr>
          <w:p w14:paraId="62CEDEF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145 </w:t>
            </w:r>
            <w:r w:rsidRPr="00074369">
              <w:t>(0.</w:t>
            </w:r>
            <w:r w:rsidRPr="00074369">
              <w:rPr>
                <w:rFonts w:asciiTheme="minorHAnsi" w:hAnsiTheme="minorHAnsi" w:cstheme="minorHAnsi"/>
                <w:szCs w:val="20"/>
              </w:rPr>
              <w:t>098</w:t>
            </w:r>
            <w:r w:rsidRPr="00074369">
              <w:t>)</w:t>
            </w:r>
          </w:p>
        </w:tc>
      </w:tr>
      <w:tr w:rsidR="00CD6BB4" w:rsidRPr="00074369" w14:paraId="4F0742D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0FF13E"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Primax</w:t>
            </w:r>
          </w:p>
        </w:tc>
        <w:tc>
          <w:tcPr>
            <w:tcW w:w="1519" w:type="dxa"/>
            <w:hideMark/>
          </w:tcPr>
          <w:p w14:paraId="22A6BC3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499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091</w:t>
            </w:r>
            <w:r w:rsidRPr="00074369">
              <w:t>)</w:t>
            </w:r>
          </w:p>
        </w:tc>
        <w:tc>
          <w:tcPr>
            <w:tcW w:w="1689" w:type="dxa"/>
            <w:hideMark/>
          </w:tcPr>
          <w:p w14:paraId="718FDBB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092</w:t>
            </w:r>
            <w:r w:rsidRPr="00074369">
              <w:t>)</w:t>
            </w:r>
          </w:p>
        </w:tc>
        <w:tc>
          <w:tcPr>
            <w:tcW w:w="1947" w:type="dxa"/>
            <w:gridSpan w:val="2"/>
            <w:hideMark/>
          </w:tcPr>
          <w:p w14:paraId="36EC720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618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082</w:t>
            </w:r>
            <w:r w:rsidRPr="00074369">
              <w:t>)</w:t>
            </w:r>
          </w:p>
        </w:tc>
        <w:tc>
          <w:tcPr>
            <w:tcW w:w="1641" w:type="dxa"/>
            <w:hideMark/>
          </w:tcPr>
          <w:p w14:paraId="27DFC7F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769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087</w:t>
            </w:r>
            <w:r w:rsidRPr="00074369">
              <w:t>)</w:t>
            </w:r>
          </w:p>
        </w:tc>
      </w:tr>
      <w:tr w:rsidR="00CD6BB4" w:rsidRPr="00074369" w14:paraId="50107E9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49D2D51"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Repsol</w:t>
            </w:r>
          </w:p>
        </w:tc>
        <w:tc>
          <w:tcPr>
            <w:tcW w:w="1519" w:type="dxa"/>
            <w:hideMark/>
          </w:tcPr>
          <w:p w14:paraId="7CE0612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383</w:t>
            </w:r>
            <w:r w:rsidRPr="00074369">
              <w:rPr>
                <w:vertAlign w:val="superscript"/>
              </w:rPr>
              <w:t>***</w:t>
            </w:r>
            <w:r w:rsidRPr="00074369">
              <w:t> (0.</w:t>
            </w:r>
            <w:r w:rsidRPr="00074369">
              <w:rPr>
                <w:rFonts w:asciiTheme="minorHAnsi" w:hAnsiTheme="minorHAnsi" w:cstheme="minorHAnsi"/>
                <w:szCs w:val="20"/>
              </w:rPr>
              <w:t>080</w:t>
            </w:r>
            <w:r w:rsidRPr="00074369">
              <w:t>)</w:t>
            </w:r>
          </w:p>
        </w:tc>
        <w:tc>
          <w:tcPr>
            <w:tcW w:w="1689" w:type="dxa"/>
            <w:hideMark/>
          </w:tcPr>
          <w:p w14:paraId="46FB0D9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402</w:t>
            </w:r>
            <w:r w:rsidRPr="00074369">
              <w:rPr>
                <w:vertAlign w:val="superscript"/>
              </w:rPr>
              <w:t>***</w:t>
            </w:r>
            <w:r w:rsidRPr="00074369">
              <w:t> (0.</w:t>
            </w:r>
            <w:r w:rsidRPr="00074369">
              <w:rPr>
                <w:rFonts w:asciiTheme="minorHAnsi" w:hAnsiTheme="minorHAnsi" w:cstheme="minorHAnsi"/>
                <w:szCs w:val="20"/>
              </w:rPr>
              <w:t>081</w:t>
            </w:r>
            <w:r w:rsidRPr="00074369">
              <w:t>)</w:t>
            </w:r>
          </w:p>
        </w:tc>
        <w:tc>
          <w:tcPr>
            <w:tcW w:w="1947" w:type="dxa"/>
            <w:gridSpan w:val="2"/>
            <w:hideMark/>
          </w:tcPr>
          <w:p w14:paraId="2846767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405</w:t>
            </w:r>
            <w:r w:rsidRPr="00074369">
              <w:rPr>
                <w:vertAlign w:val="superscript"/>
              </w:rPr>
              <w:t>***</w:t>
            </w:r>
            <w:r w:rsidRPr="00074369">
              <w:t> (0.</w:t>
            </w:r>
            <w:r w:rsidRPr="00074369">
              <w:rPr>
                <w:rFonts w:asciiTheme="minorHAnsi" w:hAnsiTheme="minorHAnsi" w:cstheme="minorHAnsi"/>
                <w:szCs w:val="20"/>
              </w:rPr>
              <w:t>072</w:t>
            </w:r>
            <w:r w:rsidRPr="00074369">
              <w:t>)</w:t>
            </w:r>
          </w:p>
        </w:tc>
        <w:tc>
          <w:tcPr>
            <w:tcW w:w="1641" w:type="dxa"/>
            <w:hideMark/>
          </w:tcPr>
          <w:p w14:paraId="323C583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526</w:t>
            </w:r>
            <w:r w:rsidRPr="00074369">
              <w:rPr>
                <w:vertAlign w:val="superscript"/>
              </w:rPr>
              <w:t>***</w:t>
            </w:r>
            <w:r w:rsidRPr="00074369">
              <w:t> (0.</w:t>
            </w:r>
            <w:r w:rsidRPr="00074369">
              <w:rPr>
                <w:rFonts w:asciiTheme="minorHAnsi" w:hAnsiTheme="minorHAnsi" w:cstheme="minorHAnsi"/>
                <w:szCs w:val="20"/>
              </w:rPr>
              <w:t>076</w:t>
            </w:r>
            <w:r w:rsidRPr="00074369">
              <w:t>)</w:t>
            </w:r>
          </w:p>
        </w:tc>
      </w:tr>
      <w:tr w:rsidR="00CD6BB4" w:rsidRPr="00074369" w14:paraId="275B886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3D5F79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SC</w:t>
            </w:r>
          </w:p>
        </w:tc>
        <w:tc>
          <w:tcPr>
            <w:tcW w:w="1519" w:type="dxa"/>
            <w:hideMark/>
          </w:tcPr>
          <w:p w14:paraId="628862A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090 </w:t>
            </w:r>
            <w:r w:rsidRPr="00074369">
              <w:t>(0.</w:t>
            </w:r>
            <w:r w:rsidRPr="00074369">
              <w:rPr>
                <w:rFonts w:asciiTheme="minorHAnsi" w:hAnsiTheme="minorHAnsi" w:cstheme="minorHAnsi"/>
                <w:szCs w:val="20"/>
              </w:rPr>
              <w:t>159</w:t>
            </w:r>
            <w:r w:rsidRPr="00074369">
              <w:t>)</w:t>
            </w:r>
          </w:p>
        </w:tc>
        <w:tc>
          <w:tcPr>
            <w:tcW w:w="1689" w:type="dxa"/>
            <w:hideMark/>
          </w:tcPr>
          <w:p w14:paraId="253D71B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080 </w:t>
            </w:r>
            <w:r w:rsidRPr="00074369">
              <w:t>(0.</w:t>
            </w:r>
            <w:r w:rsidRPr="00074369">
              <w:rPr>
                <w:rFonts w:asciiTheme="minorHAnsi" w:hAnsiTheme="minorHAnsi" w:cstheme="minorHAnsi"/>
                <w:szCs w:val="20"/>
              </w:rPr>
              <w:t>162</w:t>
            </w:r>
            <w:r w:rsidRPr="00074369">
              <w:t>)</w:t>
            </w:r>
          </w:p>
        </w:tc>
        <w:tc>
          <w:tcPr>
            <w:tcW w:w="1947" w:type="dxa"/>
            <w:gridSpan w:val="2"/>
            <w:hideMark/>
          </w:tcPr>
          <w:p w14:paraId="41414E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061 </w:t>
            </w:r>
            <w:r w:rsidRPr="00074369">
              <w:t>(0.</w:t>
            </w:r>
            <w:r w:rsidRPr="00074369">
              <w:rPr>
                <w:rFonts w:asciiTheme="minorHAnsi" w:hAnsiTheme="minorHAnsi" w:cstheme="minorHAnsi"/>
                <w:szCs w:val="20"/>
              </w:rPr>
              <w:t>086</w:t>
            </w:r>
            <w:r w:rsidRPr="00074369">
              <w:t>)</w:t>
            </w:r>
          </w:p>
        </w:tc>
        <w:tc>
          <w:tcPr>
            <w:tcW w:w="1641" w:type="dxa"/>
            <w:hideMark/>
          </w:tcPr>
          <w:p w14:paraId="015B51B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072 </w:t>
            </w:r>
            <w:r w:rsidRPr="00074369">
              <w:t>(0.</w:t>
            </w:r>
            <w:r w:rsidRPr="00074369">
              <w:rPr>
                <w:rFonts w:asciiTheme="minorHAnsi" w:hAnsiTheme="minorHAnsi" w:cstheme="minorHAnsi"/>
                <w:szCs w:val="20"/>
              </w:rPr>
              <w:t>091</w:t>
            </w:r>
            <w:r w:rsidRPr="00074369">
              <w:t>)</w:t>
            </w:r>
          </w:p>
        </w:tc>
      </w:tr>
      <w:tr w:rsidR="00CD6BB4" w:rsidRPr="00074369" w14:paraId="4FE57DF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D8D32A8" w14:textId="77777777" w:rsidR="00CD6BB4" w:rsidRPr="00074369" w:rsidRDefault="00CD6BB4" w:rsidP="007C15C8">
            <w:pPr>
              <w:spacing w:after="0" w:line="240" w:lineRule="auto"/>
              <w:jc w:val="left"/>
              <w:rPr>
                <w:rFonts w:asciiTheme="minorHAnsi" w:hAnsiTheme="minorHAnsi"/>
              </w:rPr>
            </w:pPr>
            <w:r w:rsidRPr="00074369">
              <w:t>DPROM</w:t>
            </w:r>
          </w:p>
        </w:tc>
        <w:tc>
          <w:tcPr>
            <w:tcW w:w="1519" w:type="dxa"/>
            <w:hideMark/>
          </w:tcPr>
          <w:p w14:paraId="2CDD4EC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005</w:t>
            </w:r>
            <w:r w:rsidRPr="00074369">
              <w:t xml:space="preserve"> (0.163)</w:t>
            </w:r>
          </w:p>
        </w:tc>
        <w:tc>
          <w:tcPr>
            <w:tcW w:w="1689" w:type="dxa"/>
            <w:hideMark/>
          </w:tcPr>
          <w:p w14:paraId="41250921"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t xml:space="preserve"> (0.</w:t>
            </w:r>
            <w:r w:rsidRPr="00074369">
              <w:rPr>
                <w:rFonts w:asciiTheme="minorHAnsi" w:hAnsiTheme="minorHAnsi" w:cstheme="minorHAnsi"/>
                <w:szCs w:val="20"/>
              </w:rPr>
              <w:t>166</w:t>
            </w:r>
            <w:r w:rsidRPr="00074369">
              <w:t>)</w:t>
            </w:r>
          </w:p>
        </w:tc>
        <w:tc>
          <w:tcPr>
            <w:tcW w:w="1947" w:type="dxa"/>
            <w:gridSpan w:val="2"/>
            <w:hideMark/>
          </w:tcPr>
          <w:p w14:paraId="44DC1E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189</w:t>
            </w:r>
            <w:r w:rsidRPr="00074369">
              <w:t xml:space="preserve"> (0.</w:t>
            </w:r>
            <w:r w:rsidRPr="00074369">
              <w:rPr>
                <w:rFonts w:asciiTheme="minorHAnsi" w:hAnsiTheme="minorHAnsi" w:cstheme="minorHAnsi"/>
                <w:szCs w:val="20"/>
              </w:rPr>
              <w:t>148</w:t>
            </w:r>
            <w:r w:rsidRPr="00074369">
              <w:t>)</w:t>
            </w:r>
          </w:p>
        </w:tc>
        <w:tc>
          <w:tcPr>
            <w:tcW w:w="1641" w:type="dxa"/>
            <w:hideMark/>
          </w:tcPr>
          <w:p w14:paraId="4B7B2F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205</w:t>
            </w:r>
            <w:r w:rsidRPr="00074369">
              <w:t xml:space="preserve"> (0.</w:t>
            </w:r>
            <w:r w:rsidRPr="00074369">
              <w:rPr>
                <w:rFonts w:asciiTheme="minorHAnsi" w:hAnsiTheme="minorHAnsi" w:cstheme="minorHAnsi"/>
                <w:szCs w:val="20"/>
              </w:rPr>
              <w:t>156</w:t>
            </w:r>
            <w:r w:rsidRPr="00074369">
              <w:t>)</w:t>
            </w:r>
          </w:p>
        </w:tc>
      </w:tr>
      <w:tr w:rsidR="00CD6BB4" w:rsidRPr="00074369" w14:paraId="48931C0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21EA3A2" w14:textId="77777777" w:rsidR="00CD6BB4" w:rsidRPr="00074369" w:rsidRDefault="00CD6BB4" w:rsidP="007C15C8">
            <w:pPr>
              <w:spacing w:after="0" w:line="240" w:lineRule="auto"/>
              <w:jc w:val="left"/>
              <w:rPr>
                <w:rFonts w:asciiTheme="minorHAnsi" w:hAnsiTheme="minorHAnsi"/>
              </w:rPr>
            </w:pPr>
            <w:r w:rsidRPr="00074369">
              <w:t>DMIN</w:t>
            </w:r>
          </w:p>
        </w:tc>
        <w:tc>
          <w:tcPr>
            <w:tcW w:w="1519" w:type="dxa"/>
            <w:hideMark/>
          </w:tcPr>
          <w:p w14:paraId="5C78401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056</w:t>
            </w:r>
            <w:r w:rsidRPr="00074369">
              <w:t xml:space="preserve"> (0.</w:t>
            </w:r>
            <w:r w:rsidRPr="00074369">
              <w:rPr>
                <w:rFonts w:asciiTheme="minorHAnsi" w:hAnsiTheme="minorHAnsi" w:cstheme="minorHAnsi"/>
                <w:szCs w:val="20"/>
              </w:rPr>
              <w:t>068</w:t>
            </w:r>
            <w:r w:rsidRPr="00074369">
              <w:t>)</w:t>
            </w:r>
          </w:p>
        </w:tc>
        <w:tc>
          <w:tcPr>
            <w:tcW w:w="1689" w:type="dxa"/>
            <w:hideMark/>
          </w:tcPr>
          <w:p w14:paraId="0C3F7B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021</w:t>
            </w:r>
            <w:r w:rsidRPr="00074369">
              <w:t xml:space="preserve"> (0.</w:t>
            </w:r>
            <w:r w:rsidRPr="00074369">
              <w:rPr>
                <w:rFonts w:asciiTheme="minorHAnsi" w:hAnsiTheme="minorHAnsi" w:cstheme="minorHAnsi"/>
                <w:szCs w:val="20"/>
              </w:rPr>
              <w:t>069</w:t>
            </w:r>
            <w:r w:rsidRPr="00074369">
              <w:t>)</w:t>
            </w:r>
          </w:p>
        </w:tc>
        <w:tc>
          <w:tcPr>
            <w:tcW w:w="1947" w:type="dxa"/>
            <w:gridSpan w:val="2"/>
            <w:hideMark/>
          </w:tcPr>
          <w:p w14:paraId="7A79C84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085</w:t>
            </w:r>
            <w:r w:rsidRPr="00074369">
              <w:t xml:space="preserve"> (0.</w:t>
            </w:r>
            <w:r w:rsidRPr="00074369">
              <w:rPr>
                <w:rFonts w:asciiTheme="minorHAnsi" w:hAnsiTheme="minorHAnsi" w:cstheme="minorHAnsi"/>
                <w:szCs w:val="20"/>
              </w:rPr>
              <w:t>061</w:t>
            </w:r>
            <w:r w:rsidRPr="00074369">
              <w:t>)</w:t>
            </w:r>
          </w:p>
        </w:tc>
        <w:tc>
          <w:tcPr>
            <w:tcW w:w="1641" w:type="dxa"/>
            <w:hideMark/>
          </w:tcPr>
          <w:p w14:paraId="2D058A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148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065</w:t>
            </w:r>
            <w:r w:rsidRPr="00074369">
              <w:t>)</w:t>
            </w:r>
          </w:p>
        </w:tc>
      </w:tr>
      <w:tr w:rsidR="00CD6BB4" w:rsidRPr="00074369" w14:paraId="5C3D6086"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EA7AC36" w14:textId="77777777" w:rsidR="00CD6BB4" w:rsidRPr="00074369" w:rsidRDefault="00CD6BB4" w:rsidP="007C15C8">
            <w:pPr>
              <w:spacing w:after="0" w:line="240" w:lineRule="auto"/>
              <w:jc w:val="left"/>
              <w:rPr>
                <w:rFonts w:asciiTheme="minorHAnsi" w:hAnsiTheme="minorHAnsi"/>
              </w:rPr>
            </w:pPr>
            <w:r w:rsidRPr="00074369">
              <w:t>NCERC</w:t>
            </w:r>
          </w:p>
        </w:tc>
        <w:tc>
          <w:tcPr>
            <w:tcW w:w="1519" w:type="dxa"/>
            <w:hideMark/>
          </w:tcPr>
          <w:p w14:paraId="118661C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011</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689" w:type="dxa"/>
            <w:hideMark/>
          </w:tcPr>
          <w:p w14:paraId="6B61875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947" w:type="dxa"/>
            <w:gridSpan w:val="2"/>
            <w:hideMark/>
          </w:tcPr>
          <w:p w14:paraId="179257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003</w:t>
            </w:r>
            <w:r w:rsidRPr="00074369">
              <w:t>)</w:t>
            </w:r>
          </w:p>
        </w:tc>
        <w:tc>
          <w:tcPr>
            <w:tcW w:w="1641" w:type="dxa"/>
            <w:hideMark/>
          </w:tcPr>
          <w:p w14:paraId="643EE75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004</w:t>
            </w:r>
            <w:r w:rsidRPr="00074369">
              <w:t>)</w:t>
            </w:r>
          </w:p>
        </w:tc>
      </w:tr>
      <w:tr w:rsidR="00CD6BB4" w:rsidRPr="00074369" w14:paraId="2EE9AEC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9ACDACF" w14:textId="77777777" w:rsidR="00CD6BB4" w:rsidRPr="00074369" w:rsidRDefault="00CD6BB4" w:rsidP="007C15C8">
            <w:pPr>
              <w:spacing w:after="0" w:line="240" w:lineRule="auto"/>
              <w:jc w:val="left"/>
              <w:rPr>
                <w:rFonts w:asciiTheme="minorHAnsi" w:hAnsiTheme="minorHAnsi"/>
              </w:rPr>
            </w:pPr>
            <w:r w:rsidRPr="00074369">
              <w:t>MECANICO</w:t>
            </w:r>
          </w:p>
        </w:tc>
        <w:tc>
          <w:tcPr>
            <w:tcW w:w="1519" w:type="dxa"/>
            <w:hideMark/>
          </w:tcPr>
          <w:p w14:paraId="375300C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022 </w:t>
            </w:r>
            <w:r w:rsidRPr="00074369">
              <w:t>(0.</w:t>
            </w:r>
            <w:r w:rsidRPr="00074369">
              <w:rPr>
                <w:rFonts w:asciiTheme="minorHAnsi" w:hAnsiTheme="minorHAnsi" w:cstheme="minorHAnsi"/>
                <w:szCs w:val="20"/>
              </w:rPr>
              <w:t>062</w:t>
            </w:r>
            <w:r w:rsidRPr="00074369">
              <w:t>)</w:t>
            </w:r>
          </w:p>
        </w:tc>
        <w:tc>
          <w:tcPr>
            <w:tcW w:w="1689" w:type="dxa"/>
            <w:hideMark/>
          </w:tcPr>
          <w:p w14:paraId="0651BA5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063</w:t>
            </w:r>
            <w:r w:rsidRPr="00074369">
              <w:t>)</w:t>
            </w:r>
          </w:p>
        </w:tc>
        <w:tc>
          <w:tcPr>
            <w:tcW w:w="1947" w:type="dxa"/>
            <w:gridSpan w:val="2"/>
            <w:hideMark/>
          </w:tcPr>
          <w:p w14:paraId="08678D7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074 </w:t>
            </w:r>
            <w:r w:rsidRPr="00074369">
              <w:t>(0.</w:t>
            </w:r>
            <w:r w:rsidRPr="00074369">
              <w:rPr>
                <w:rFonts w:asciiTheme="minorHAnsi" w:hAnsiTheme="minorHAnsi" w:cstheme="minorHAnsi"/>
                <w:szCs w:val="20"/>
              </w:rPr>
              <w:t>056</w:t>
            </w:r>
            <w:r w:rsidRPr="00074369">
              <w:t>)</w:t>
            </w:r>
          </w:p>
        </w:tc>
        <w:tc>
          <w:tcPr>
            <w:tcW w:w="1641" w:type="dxa"/>
            <w:hideMark/>
          </w:tcPr>
          <w:p w14:paraId="07AA64C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028 </w:t>
            </w:r>
            <w:r w:rsidRPr="00074369">
              <w:t>(0.</w:t>
            </w:r>
            <w:r w:rsidRPr="00074369">
              <w:rPr>
                <w:rFonts w:asciiTheme="minorHAnsi" w:hAnsiTheme="minorHAnsi" w:cstheme="minorHAnsi"/>
                <w:szCs w:val="20"/>
              </w:rPr>
              <w:t>059</w:t>
            </w:r>
            <w:r w:rsidRPr="00074369">
              <w:t>)</w:t>
            </w:r>
          </w:p>
        </w:tc>
      </w:tr>
      <w:tr w:rsidR="00CD6BB4" w:rsidRPr="00074369" w14:paraId="704B539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55E35C90" w14:textId="77777777" w:rsidR="00CD6BB4" w:rsidRPr="00074369" w:rsidRDefault="00CD6BB4" w:rsidP="007C15C8">
            <w:pPr>
              <w:spacing w:after="0" w:line="240" w:lineRule="auto"/>
              <w:jc w:val="left"/>
              <w:rPr>
                <w:rFonts w:asciiTheme="minorHAnsi" w:hAnsiTheme="minorHAnsi"/>
              </w:rPr>
            </w:pPr>
            <w:r w:rsidRPr="00074369">
              <w:t>LAVADO</w:t>
            </w:r>
          </w:p>
        </w:tc>
        <w:tc>
          <w:tcPr>
            <w:tcW w:w="1519" w:type="dxa"/>
            <w:hideMark/>
          </w:tcPr>
          <w:p w14:paraId="0E62F0B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077</w:t>
            </w:r>
            <w:r w:rsidRPr="00074369">
              <w:t xml:space="preserve"> (0.</w:t>
            </w:r>
            <w:r w:rsidRPr="00074369">
              <w:rPr>
                <w:rFonts w:asciiTheme="minorHAnsi" w:hAnsiTheme="minorHAnsi" w:cstheme="minorHAnsi"/>
                <w:szCs w:val="20"/>
              </w:rPr>
              <w:t>073</w:t>
            </w:r>
            <w:r w:rsidRPr="00074369">
              <w:t>)</w:t>
            </w:r>
          </w:p>
        </w:tc>
        <w:tc>
          <w:tcPr>
            <w:tcW w:w="1689" w:type="dxa"/>
            <w:hideMark/>
          </w:tcPr>
          <w:p w14:paraId="04B914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099</w:t>
            </w:r>
            <w:r w:rsidRPr="00074369">
              <w:t xml:space="preserve"> (0.</w:t>
            </w:r>
            <w:r w:rsidRPr="00074369">
              <w:rPr>
                <w:rFonts w:asciiTheme="minorHAnsi" w:hAnsiTheme="minorHAnsi" w:cstheme="minorHAnsi"/>
                <w:szCs w:val="20"/>
              </w:rPr>
              <w:t>074</w:t>
            </w:r>
            <w:r w:rsidRPr="00074369">
              <w:t>)</w:t>
            </w:r>
          </w:p>
        </w:tc>
        <w:tc>
          <w:tcPr>
            <w:tcW w:w="1947" w:type="dxa"/>
            <w:gridSpan w:val="2"/>
            <w:hideMark/>
          </w:tcPr>
          <w:p w14:paraId="4B64219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066</w:t>
            </w:r>
            <w:r w:rsidRPr="00074369">
              <w:t xml:space="preserve"> (0.</w:t>
            </w:r>
            <w:r w:rsidRPr="00074369">
              <w:rPr>
                <w:rFonts w:asciiTheme="minorHAnsi" w:hAnsiTheme="minorHAnsi" w:cstheme="minorHAnsi"/>
                <w:szCs w:val="20"/>
              </w:rPr>
              <w:t>066</w:t>
            </w:r>
            <w:r w:rsidRPr="00074369">
              <w:t>)</w:t>
            </w:r>
          </w:p>
        </w:tc>
        <w:tc>
          <w:tcPr>
            <w:tcW w:w="1641" w:type="dxa"/>
            <w:hideMark/>
          </w:tcPr>
          <w:p w14:paraId="5B69436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069</w:t>
            </w:r>
            <w:r w:rsidRPr="00074369">
              <w:t>)</w:t>
            </w:r>
          </w:p>
        </w:tc>
      </w:tr>
      <w:tr w:rsidR="00CD6BB4" w:rsidRPr="00074369" w14:paraId="1E6A480D"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4D339F4" w14:textId="77777777" w:rsidR="00CD6BB4" w:rsidRPr="00074369" w:rsidRDefault="00CD6BB4" w:rsidP="007C15C8">
            <w:pPr>
              <w:spacing w:after="0" w:line="240" w:lineRule="auto"/>
              <w:jc w:val="left"/>
              <w:rPr>
                <w:rFonts w:asciiTheme="minorHAnsi" w:hAnsiTheme="minorHAnsi"/>
              </w:rPr>
            </w:pPr>
            <w:r w:rsidRPr="00074369">
              <w:t>CAJERO</w:t>
            </w:r>
          </w:p>
        </w:tc>
        <w:tc>
          <w:tcPr>
            <w:tcW w:w="1519" w:type="dxa"/>
            <w:hideMark/>
          </w:tcPr>
          <w:p w14:paraId="0662F4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070</w:t>
            </w:r>
            <w:r w:rsidRPr="00074369">
              <w:t xml:space="preserve"> (0.</w:t>
            </w:r>
            <w:r w:rsidRPr="00074369">
              <w:rPr>
                <w:rFonts w:asciiTheme="minorHAnsi" w:hAnsiTheme="minorHAnsi" w:cstheme="minorHAnsi"/>
                <w:szCs w:val="20"/>
              </w:rPr>
              <w:t>052</w:t>
            </w:r>
            <w:r w:rsidRPr="00074369">
              <w:t>)</w:t>
            </w:r>
          </w:p>
        </w:tc>
        <w:tc>
          <w:tcPr>
            <w:tcW w:w="1689" w:type="dxa"/>
            <w:hideMark/>
          </w:tcPr>
          <w:p w14:paraId="1D4F4D5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125</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053</w:t>
            </w:r>
            <w:r w:rsidRPr="00074369">
              <w:t>)</w:t>
            </w:r>
          </w:p>
        </w:tc>
        <w:tc>
          <w:tcPr>
            <w:tcW w:w="1947" w:type="dxa"/>
            <w:gridSpan w:val="2"/>
            <w:hideMark/>
          </w:tcPr>
          <w:p w14:paraId="065679F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073</w:t>
            </w:r>
            <w:r w:rsidRPr="00074369">
              <w:t xml:space="preserve"> (0.</w:t>
            </w:r>
            <w:r w:rsidRPr="00074369">
              <w:rPr>
                <w:rFonts w:asciiTheme="minorHAnsi" w:hAnsiTheme="minorHAnsi" w:cstheme="minorHAnsi"/>
                <w:szCs w:val="20"/>
              </w:rPr>
              <w:t>047</w:t>
            </w:r>
            <w:r w:rsidRPr="00074369">
              <w:t>)</w:t>
            </w:r>
          </w:p>
        </w:tc>
        <w:tc>
          <w:tcPr>
            <w:tcW w:w="1641" w:type="dxa"/>
            <w:hideMark/>
          </w:tcPr>
          <w:p w14:paraId="3E92BD0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090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049</w:t>
            </w:r>
            <w:r w:rsidRPr="00074369">
              <w:t>)</w:t>
            </w:r>
          </w:p>
        </w:tc>
      </w:tr>
      <w:tr w:rsidR="00CD6BB4" w:rsidRPr="00074369" w14:paraId="1CC6660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5AEF64"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GNV</w:t>
            </w:r>
          </w:p>
        </w:tc>
        <w:tc>
          <w:tcPr>
            <w:tcW w:w="1519" w:type="dxa"/>
            <w:hideMark/>
          </w:tcPr>
          <w:p w14:paraId="319EB2E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127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(0.053)</w:t>
            </w:r>
          </w:p>
        </w:tc>
        <w:tc>
          <w:tcPr>
            <w:tcW w:w="1689" w:type="dxa"/>
            <w:hideMark/>
          </w:tcPr>
          <w:p w14:paraId="3042578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042 </w:t>
            </w:r>
            <w:r w:rsidRPr="00074369">
              <w:t>(0.</w:t>
            </w:r>
            <w:r w:rsidRPr="00074369">
              <w:rPr>
                <w:rFonts w:asciiTheme="minorHAnsi" w:hAnsiTheme="minorHAnsi" w:cstheme="minorHAnsi"/>
                <w:szCs w:val="20"/>
              </w:rPr>
              <w:t>054</w:t>
            </w:r>
            <w:r w:rsidRPr="00074369">
              <w:t>)</w:t>
            </w:r>
          </w:p>
        </w:tc>
        <w:tc>
          <w:tcPr>
            <w:tcW w:w="1947" w:type="dxa"/>
            <w:gridSpan w:val="2"/>
            <w:hideMark/>
          </w:tcPr>
          <w:p w14:paraId="7C25C44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074</w:t>
            </w:r>
            <w:r w:rsidRPr="00074369">
              <w:t xml:space="preserve"> (0.</w:t>
            </w:r>
            <w:r w:rsidRPr="00074369">
              <w:rPr>
                <w:rFonts w:asciiTheme="minorHAnsi" w:hAnsiTheme="minorHAnsi" w:cstheme="minorHAnsi"/>
                <w:szCs w:val="20"/>
              </w:rPr>
              <w:t>048</w:t>
            </w:r>
            <w:r w:rsidRPr="00074369">
              <w:t>)</w:t>
            </w:r>
          </w:p>
        </w:tc>
        <w:tc>
          <w:tcPr>
            <w:tcW w:w="1641" w:type="dxa"/>
            <w:hideMark/>
          </w:tcPr>
          <w:p w14:paraId="4FE845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051 </w:t>
            </w:r>
            <w:r w:rsidRPr="00074369">
              <w:t>(0.050)</w:t>
            </w:r>
          </w:p>
        </w:tc>
      </w:tr>
      <w:tr w:rsidR="00CD6BB4" w:rsidRPr="00074369" w14:paraId="454CFA1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45D6E5"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GLP</w:t>
            </w:r>
          </w:p>
        </w:tc>
        <w:tc>
          <w:tcPr>
            <w:tcW w:w="1519" w:type="dxa"/>
            <w:hideMark/>
          </w:tcPr>
          <w:p w14:paraId="4C51BE5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001 </w:t>
            </w:r>
            <w:r w:rsidRPr="00074369">
              <w:t>(0.</w:t>
            </w:r>
            <w:r w:rsidRPr="00074369">
              <w:rPr>
                <w:rFonts w:asciiTheme="minorHAnsi" w:hAnsiTheme="minorHAnsi" w:cstheme="minorHAnsi"/>
                <w:szCs w:val="20"/>
              </w:rPr>
              <w:t>052</w:t>
            </w:r>
            <w:r w:rsidRPr="00074369">
              <w:t>)</w:t>
            </w:r>
          </w:p>
        </w:tc>
        <w:tc>
          <w:tcPr>
            <w:tcW w:w="1689" w:type="dxa"/>
            <w:hideMark/>
          </w:tcPr>
          <w:p w14:paraId="76FF334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053</w:t>
            </w:r>
            <w:r w:rsidRPr="00074369">
              <w:t>)</w:t>
            </w:r>
          </w:p>
        </w:tc>
        <w:tc>
          <w:tcPr>
            <w:tcW w:w="1947" w:type="dxa"/>
            <w:gridSpan w:val="2"/>
            <w:hideMark/>
          </w:tcPr>
          <w:p w14:paraId="375FBD7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028</w:t>
            </w:r>
            <w:r w:rsidRPr="00074369">
              <w:t xml:space="preserve"> (0.</w:t>
            </w:r>
            <w:r w:rsidRPr="00074369">
              <w:rPr>
                <w:rFonts w:asciiTheme="minorHAnsi" w:hAnsiTheme="minorHAnsi" w:cstheme="minorHAnsi"/>
                <w:szCs w:val="20"/>
              </w:rPr>
              <w:t>047</w:t>
            </w:r>
            <w:r w:rsidRPr="00074369">
              <w:t>)</w:t>
            </w:r>
          </w:p>
        </w:tc>
        <w:tc>
          <w:tcPr>
            <w:tcW w:w="1641" w:type="dxa"/>
            <w:hideMark/>
          </w:tcPr>
          <w:p w14:paraId="6EF4ED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007</w:t>
            </w:r>
            <w:r w:rsidRPr="00074369">
              <w:t xml:space="preserve"> (0.</w:t>
            </w:r>
            <w:r w:rsidRPr="00074369">
              <w:rPr>
                <w:rFonts w:asciiTheme="minorHAnsi" w:hAnsiTheme="minorHAnsi" w:cstheme="minorHAnsi"/>
                <w:szCs w:val="20"/>
              </w:rPr>
              <w:t>050</w:t>
            </w:r>
            <w:r w:rsidRPr="00074369">
              <w:t>)</w:t>
            </w:r>
          </w:p>
        </w:tc>
      </w:tr>
      <w:tr w:rsidR="00CD6BB4" w:rsidRPr="00074369" w14:paraId="152DBD4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5229AEC" w14:textId="77777777" w:rsidR="00CD6BB4" w:rsidRPr="00074369" w:rsidRDefault="00CD6BB4" w:rsidP="007C15C8">
            <w:pPr>
              <w:spacing w:after="0" w:line="240" w:lineRule="auto"/>
              <w:jc w:val="left"/>
              <w:rPr>
                <w:rFonts w:asciiTheme="minorHAnsi" w:hAnsiTheme="minorHAnsi"/>
              </w:rPr>
            </w:pPr>
            <w:r w:rsidRPr="00074369">
              <w:t>INGRESO</w:t>
            </w:r>
          </w:p>
        </w:tc>
        <w:tc>
          <w:tcPr>
            <w:tcW w:w="1519" w:type="dxa"/>
            <w:hideMark/>
          </w:tcPr>
          <w:p w14:paraId="0B9E186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1.259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167</w:t>
            </w:r>
            <w:r w:rsidRPr="00074369">
              <w:t>)</w:t>
            </w:r>
          </w:p>
        </w:tc>
        <w:tc>
          <w:tcPr>
            <w:tcW w:w="1689" w:type="dxa"/>
            <w:hideMark/>
          </w:tcPr>
          <w:p w14:paraId="4B1B7B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169</w:t>
            </w:r>
            <w:r w:rsidRPr="00074369">
              <w:t>)</w:t>
            </w:r>
          </w:p>
        </w:tc>
        <w:tc>
          <w:tcPr>
            <w:tcW w:w="1947" w:type="dxa"/>
            <w:gridSpan w:val="2"/>
            <w:hideMark/>
          </w:tcPr>
          <w:p w14:paraId="7864FF5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1.167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153</w:t>
            </w:r>
            <w:r w:rsidRPr="00074369">
              <w:t>)</w:t>
            </w:r>
          </w:p>
        </w:tc>
        <w:tc>
          <w:tcPr>
            <w:tcW w:w="1641" w:type="dxa"/>
            <w:hideMark/>
          </w:tcPr>
          <w:p w14:paraId="55A4250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1.236</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162</w:t>
            </w:r>
            <w:r w:rsidRPr="00074369">
              <w:t>)</w:t>
            </w:r>
          </w:p>
        </w:tc>
      </w:tr>
      <w:tr w:rsidR="00CD6BB4" w:rsidRPr="00074369" w14:paraId="706702E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6C36C65" w14:textId="77777777" w:rsidR="00CD6BB4" w:rsidRPr="00074369" w:rsidRDefault="00CD6BB4" w:rsidP="007C15C8">
            <w:pPr>
              <w:spacing w:after="0" w:line="240" w:lineRule="auto"/>
              <w:jc w:val="left"/>
              <w:rPr>
                <w:rFonts w:asciiTheme="minorHAnsi" w:hAnsiTheme="minorHAnsi"/>
              </w:rPr>
            </w:pPr>
            <w:r w:rsidRPr="00074369">
              <w:t>DENPOB</w:t>
            </w:r>
          </w:p>
        </w:tc>
        <w:tc>
          <w:tcPr>
            <w:tcW w:w="1519" w:type="dxa"/>
            <w:hideMark/>
          </w:tcPr>
          <w:p w14:paraId="62220E1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010 (0.044</w:t>
            </w:r>
            <w:r w:rsidRPr="00074369">
              <w:t>)</w:t>
            </w:r>
          </w:p>
        </w:tc>
        <w:tc>
          <w:tcPr>
            <w:tcW w:w="1689" w:type="dxa"/>
            <w:hideMark/>
          </w:tcPr>
          <w:p w14:paraId="4F8494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058 (0.045</w:t>
            </w:r>
            <w:r w:rsidRPr="00074369">
              <w:t>)</w:t>
            </w:r>
          </w:p>
        </w:tc>
        <w:tc>
          <w:tcPr>
            <w:tcW w:w="1947" w:type="dxa"/>
            <w:gridSpan w:val="2"/>
            <w:hideMark/>
          </w:tcPr>
          <w:p w14:paraId="2C39398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2A61437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042</w:t>
            </w:r>
            <w:r w:rsidRPr="00074369">
              <w:t>)</w:t>
            </w:r>
          </w:p>
        </w:tc>
      </w:tr>
      <w:tr w:rsidR="00CD6BB4" w:rsidRPr="00074369" w14:paraId="358EC92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AE63DDE"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LOGVIAJES</w:t>
            </w:r>
          </w:p>
        </w:tc>
        <w:tc>
          <w:tcPr>
            <w:tcW w:w="1519" w:type="dxa"/>
            <w:hideMark/>
          </w:tcPr>
          <w:p w14:paraId="2DE0361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072</w:t>
            </w:r>
            <w:r w:rsidRPr="00074369">
              <w:t xml:space="preserve"> (0.</w:t>
            </w:r>
            <w:r w:rsidRPr="00074369">
              <w:rPr>
                <w:rFonts w:asciiTheme="minorHAnsi" w:hAnsiTheme="minorHAnsi" w:cstheme="minorHAnsi"/>
                <w:szCs w:val="20"/>
              </w:rPr>
              <w:t>044</w:t>
            </w:r>
            <w:r w:rsidRPr="00074369">
              <w:t>)</w:t>
            </w:r>
          </w:p>
        </w:tc>
        <w:tc>
          <w:tcPr>
            <w:tcW w:w="1689" w:type="dxa"/>
            <w:hideMark/>
          </w:tcPr>
          <w:p w14:paraId="0D8876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060</w:t>
            </w:r>
            <w:r w:rsidRPr="00074369">
              <w:t xml:space="preserve"> (0.</w:t>
            </w:r>
            <w:r w:rsidRPr="00074369">
              <w:rPr>
                <w:rFonts w:asciiTheme="minorHAnsi" w:hAnsiTheme="minorHAnsi" w:cstheme="minorHAnsi"/>
                <w:szCs w:val="20"/>
              </w:rPr>
              <w:t>045</w:t>
            </w:r>
            <w:r w:rsidRPr="00074369">
              <w:t>)</w:t>
            </w:r>
          </w:p>
        </w:tc>
        <w:tc>
          <w:tcPr>
            <w:tcW w:w="1947" w:type="dxa"/>
            <w:gridSpan w:val="2"/>
            <w:hideMark/>
          </w:tcPr>
          <w:p w14:paraId="4727006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079</w:t>
            </w:r>
            <w:r w:rsidRPr="00074369">
              <w:rPr>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3E469A0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112</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042</w:t>
            </w:r>
            <w:r w:rsidRPr="00074369">
              <w:t>)</w:t>
            </w:r>
          </w:p>
        </w:tc>
      </w:tr>
      <w:tr w:rsidR="00CD6BB4" w:rsidRPr="00074369" w14:paraId="582B9AD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1C74D6F" w14:textId="77777777" w:rsidR="00CD6BB4" w:rsidRPr="00074369" w:rsidRDefault="00CD6BB4" w:rsidP="007C15C8">
            <w:pPr>
              <w:spacing w:after="0" w:line="240" w:lineRule="auto"/>
              <w:jc w:val="left"/>
              <w:rPr>
                <w:rFonts w:asciiTheme="minorHAnsi" w:hAnsiTheme="minorHAnsi"/>
              </w:rPr>
            </w:pPr>
            <w:r w:rsidRPr="00074369">
              <w:t>Constante</w:t>
            </w:r>
          </w:p>
        </w:tc>
        <w:tc>
          <w:tcPr>
            <w:tcW w:w="1519" w:type="dxa"/>
            <w:hideMark/>
          </w:tcPr>
          <w:p w14:paraId="15F26F9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7.563</w:t>
            </w:r>
            <w:r w:rsidRPr="00074369">
              <w:rPr>
                <w:vertAlign w:val="superscript"/>
              </w:rPr>
              <w:t>***</w:t>
            </w:r>
            <w:r w:rsidRPr="00074369">
              <w:t> (0.</w:t>
            </w:r>
            <w:r w:rsidRPr="00074369">
              <w:rPr>
                <w:rFonts w:asciiTheme="minorHAnsi" w:hAnsiTheme="minorHAnsi" w:cstheme="minorHAnsi"/>
                <w:szCs w:val="20"/>
              </w:rPr>
              <w:t>819</w:t>
            </w:r>
            <w:r w:rsidRPr="00074369">
              <w:t>)</w:t>
            </w:r>
          </w:p>
        </w:tc>
        <w:tc>
          <w:tcPr>
            <w:tcW w:w="1689" w:type="dxa"/>
            <w:hideMark/>
          </w:tcPr>
          <w:p w14:paraId="10B0E78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8.733</w:t>
            </w:r>
            <w:r w:rsidRPr="00074369">
              <w:rPr>
                <w:vertAlign w:val="superscript"/>
              </w:rPr>
              <w:t>***</w:t>
            </w:r>
            <w:r w:rsidRPr="00074369">
              <w:t> (0.</w:t>
            </w:r>
            <w:r w:rsidRPr="00074369">
              <w:rPr>
                <w:rFonts w:asciiTheme="minorHAnsi" w:hAnsiTheme="minorHAnsi" w:cstheme="minorHAnsi"/>
                <w:szCs w:val="20"/>
              </w:rPr>
              <w:t>833</w:t>
            </w:r>
            <w:r w:rsidRPr="00074369">
              <w:t>)</w:t>
            </w:r>
          </w:p>
        </w:tc>
        <w:tc>
          <w:tcPr>
            <w:tcW w:w="1947" w:type="dxa"/>
            <w:gridSpan w:val="2"/>
            <w:hideMark/>
          </w:tcPr>
          <w:p w14:paraId="6DADF0F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8.677</w:t>
            </w:r>
            <w:r w:rsidRPr="00074369">
              <w:rPr>
                <w:vertAlign w:val="superscript"/>
              </w:rPr>
              <w:t>***</w:t>
            </w:r>
            <w:r w:rsidRPr="00074369">
              <w:t> (0.</w:t>
            </w:r>
            <w:r w:rsidRPr="00074369">
              <w:rPr>
                <w:rFonts w:asciiTheme="minorHAnsi" w:hAnsiTheme="minorHAnsi" w:cstheme="minorHAnsi"/>
                <w:szCs w:val="20"/>
              </w:rPr>
              <w:t>740</w:t>
            </w:r>
            <w:r w:rsidRPr="00074369">
              <w:t>)</w:t>
            </w:r>
          </w:p>
        </w:tc>
        <w:tc>
          <w:tcPr>
            <w:tcW w:w="1641" w:type="dxa"/>
            <w:hideMark/>
          </w:tcPr>
          <w:p w14:paraId="4501266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8.914</w:t>
            </w:r>
            <w:r w:rsidRPr="00074369">
              <w:rPr>
                <w:vertAlign w:val="superscript"/>
              </w:rPr>
              <w:t>***</w:t>
            </w:r>
            <w:r w:rsidRPr="00074369">
              <w:t> (0.</w:t>
            </w:r>
            <w:r w:rsidRPr="00074369">
              <w:rPr>
                <w:rFonts w:asciiTheme="minorHAnsi" w:hAnsiTheme="minorHAnsi" w:cstheme="minorHAnsi"/>
                <w:szCs w:val="20"/>
              </w:rPr>
              <w:t>784</w:t>
            </w:r>
            <w:r w:rsidRPr="00074369">
              <w:t>)</w:t>
            </w:r>
          </w:p>
        </w:tc>
      </w:tr>
      <w:tr w:rsidR="00CD6BB4" w:rsidRPr="00074369" w14:paraId="3A8DFCE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BDFAD8E" w14:textId="77777777" w:rsidR="00CD6BB4" w:rsidRPr="00074369" w:rsidRDefault="00CD6BB4" w:rsidP="007C15C8">
            <w:pPr>
              <w:spacing w:after="0" w:line="240" w:lineRule="auto"/>
              <w:jc w:val="left"/>
              <w:rPr>
                <w:rFonts w:asciiTheme="minorHAnsi" w:hAnsiTheme="minorHAnsi"/>
              </w:rPr>
            </w:pPr>
            <w:r w:rsidRPr="00074369">
              <w:t>Observaciones</w:t>
            </w:r>
          </w:p>
        </w:tc>
        <w:tc>
          <w:tcPr>
            <w:tcW w:w="1519" w:type="dxa"/>
            <w:hideMark/>
          </w:tcPr>
          <w:p w14:paraId="6F11E1B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1689" w:type="dxa"/>
            <w:hideMark/>
          </w:tcPr>
          <w:p w14:paraId="1C0C63F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1947" w:type="dxa"/>
            <w:gridSpan w:val="2"/>
            <w:hideMark/>
          </w:tcPr>
          <w:p w14:paraId="226325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1641" w:type="dxa"/>
            <w:hideMark/>
          </w:tcPr>
          <w:p w14:paraId="50A3E4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00D5567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2C98C9" w14:textId="77777777" w:rsidR="00CD6BB4" w:rsidRPr="00074369" w:rsidRDefault="00CD6BB4" w:rsidP="007C15C8">
            <w:pPr>
              <w:spacing w:after="0" w:line="240" w:lineRule="auto"/>
              <w:jc w:val="left"/>
              <w:rPr>
                <w:rFonts w:asciiTheme="minorHAnsi" w:hAnsiTheme="minorHAnsi"/>
              </w:rPr>
            </w:pPr>
            <w:r w:rsidRPr="00074369">
              <w:t>R</w:t>
            </w:r>
            <w:r w:rsidRPr="00074369">
              <w:rPr>
                <w:vertAlign w:val="superscript"/>
              </w:rPr>
              <w:t xml:space="preserve">2 </w:t>
            </w:r>
            <w:r w:rsidRPr="00074369">
              <w:t>ajustado</w:t>
            </w:r>
          </w:p>
        </w:tc>
        <w:tc>
          <w:tcPr>
            <w:tcW w:w="1519" w:type="dxa"/>
            <w:hideMark/>
          </w:tcPr>
          <w:p w14:paraId="6DEE59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0.358</w:t>
            </w:r>
          </w:p>
        </w:tc>
        <w:tc>
          <w:tcPr>
            <w:tcW w:w="1689" w:type="dxa"/>
            <w:hideMark/>
          </w:tcPr>
          <w:p w14:paraId="6BFC72CC"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0.396</w:t>
            </w:r>
          </w:p>
        </w:tc>
        <w:tc>
          <w:tcPr>
            <w:tcW w:w="1947" w:type="dxa"/>
            <w:gridSpan w:val="2"/>
            <w:hideMark/>
          </w:tcPr>
          <w:p w14:paraId="4ECCE1A3"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0.441</w:t>
            </w:r>
          </w:p>
        </w:tc>
        <w:tc>
          <w:tcPr>
            <w:tcW w:w="1641" w:type="dxa"/>
            <w:hideMark/>
          </w:tcPr>
          <w:p w14:paraId="24F908D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0.461</w:t>
            </w:r>
          </w:p>
        </w:tc>
      </w:tr>
      <w:tr w:rsidR="00CD6BB4" w:rsidRPr="00074369" w14:paraId="2334D10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13638ADF"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SEM</w:t>
            </w:r>
          </w:p>
        </w:tc>
        <w:tc>
          <w:tcPr>
            <w:tcW w:w="1519" w:type="dxa"/>
            <w:vAlign w:val="center"/>
          </w:tcPr>
          <w:p w14:paraId="6CD34CD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88.53 [</w:t>
            </w:r>
            <w:r w:rsidRPr="00074369">
              <w:t>0.</w:t>
            </w:r>
            <w:r w:rsidRPr="00074369">
              <w:rPr>
                <w:rFonts w:asciiTheme="minorHAnsi" w:hAnsiTheme="minorHAnsi" w:cstheme="minorHAnsi"/>
                <w:szCs w:val="20"/>
              </w:rPr>
              <w:t>0000]</w:t>
            </w:r>
          </w:p>
        </w:tc>
        <w:tc>
          <w:tcPr>
            <w:tcW w:w="1689" w:type="dxa"/>
            <w:vAlign w:val="center"/>
          </w:tcPr>
          <w:p w14:paraId="0138234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89.08 [</w:t>
            </w:r>
            <w:r w:rsidRPr="00074369">
              <w:t>0.</w:t>
            </w:r>
            <w:r w:rsidRPr="00074369">
              <w:rPr>
                <w:rFonts w:asciiTheme="minorHAnsi" w:hAnsiTheme="minorHAnsi" w:cstheme="minorHAnsi"/>
                <w:szCs w:val="20"/>
              </w:rPr>
              <w:t>0000]</w:t>
            </w:r>
          </w:p>
        </w:tc>
        <w:tc>
          <w:tcPr>
            <w:tcW w:w="1947" w:type="dxa"/>
            <w:gridSpan w:val="2"/>
            <w:vAlign w:val="center"/>
          </w:tcPr>
          <w:p w14:paraId="61ACF43D"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90.10 [</w:t>
            </w:r>
            <w:r w:rsidRPr="00074369">
              <w:t>0.</w:t>
            </w:r>
            <w:r w:rsidRPr="00074369">
              <w:rPr>
                <w:rFonts w:asciiTheme="minorHAnsi" w:hAnsiTheme="minorHAnsi" w:cstheme="minorHAnsi"/>
                <w:szCs w:val="20"/>
              </w:rPr>
              <w:t>0000]</w:t>
            </w:r>
          </w:p>
        </w:tc>
        <w:tc>
          <w:tcPr>
            <w:tcW w:w="1641" w:type="dxa"/>
            <w:vAlign w:val="center"/>
          </w:tcPr>
          <w:p w14:paraId="4322A58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51.16 [</w:t>
            </w:r>
            <w:r w:rsidRPr="00074369">
              <w:t>0.</w:t>
            </w:r>
            <w:r w:rsidRPr="00074369">
              <w:rPr>
                <w:rFonts w:asciiTheme="minorHAnsi" w:hAnsiTheme="minorHAnsi" w:cstheme="minorHAnsi"/>
                <w:szCs w:val="20"/>
              </w:rPr>
              <w:t>0000]</w:t>
            </w:r>
          </w:p>
        </w:tc>
      </w:tr>
      <w:tr w:rsidR="00CD6BB4" w:rsidRPr="00074369" w14:paraId="630D0E6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C44FBF3"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SAR</w:t>
            </w:r>
          </w:p>
        </w:tc>
        <w:tc>
          <w:tcPr>
            <w:tcW w:w="1519" w:type="dxa"/>
            <w:vAlign w:val="center"/>
          </w:tcPr>
          <w:p w14:paraId="3D8268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118.53 [</w:t>
            </w:r>
            <w:r w:rsidRPr="00074369">
              <w:t>0.</w:t>
            </w:r>
            <w:r w:rsidRPr="00074369">
              <w:rPr>
                <w:rFonts w:asciiTheme="minorHAnsi" w:hAnsiTheme="minorHAnsi" w:cstheme="minorHAnsi"/>
                <w:szCs w:val="20"/>
              </w:rPr>
              <w:t>0000]</w:t>
            </w:r>
          </w:p>
        </w:tc>
        <w:tc>
          <w:tcPr>
            <w:tcW w:w="1689" w:type="dxa"/>
            <w:vAlign w:val="center"/>
          </w:tcPr>
          <w:p w14:paraId="4EEC0A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117.24 [</w:t>
            </w:r>
            <w:r w:rsidRPr="00074369">
              <w:t>0.</w:t>
            </w:r>
            <w:r w:rsidRPr="00074369">
              <w:rPr>
                <w:rFonts w:asciiTheme="minorHAnsi" w:hAnsiTheme="minorHAnsi" w:cstheme="minorHAnsi"/>
                <w:szCs w:val="20"/>
              </w:rPr>
              <w:t>0000]</w:t>
            </w:r>
          </w:p>
        </w:tc>
        <w:tc>
          <w:tcPr>
            <w:tcW w:w="1947" w:type="dxa"/>
            <w:gridSpan w:val="2"/>
            <w:vAlign w:val="center"/>
          </w:tcPr>
          <w:p w14:paraId="504AEF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123.35 [</w:t>
            </w:r>
            <w:r w:rsidRPr="00074369">
              <w:t>0.</w:t>
            </w:r>
            <w:r w:rsidRPr="00074369">
              <w:rPr>
                <w:rFonts w:asciiTheme="minorHAnsi" w:hAnsiTheme="minorHAnsi" w:cstheme="minorHAnsi"/>
                <w:szCs w:val="20"/>
              </w:rPr>
              <w:t>0000]</w:t>
            </w:r>
          </w:p>
        </w:tc>
        <w:tc>
          <w:tcPr>
            <w:tcW w:w="1641" w:type="dxa"/>
            <w:vAlign w:val="center"/>
          </w:tcPr>
          <w:p w14:paraId="65C21E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71.63 [</w:t>
            </w:r>
            <w:r w:rsidRPr="00074369">
              <w:t>0.</w:t>
            </w:r>
            <w:r w:rsidRPr="00074369">
              <w:rPr>
                <w:rFonts w:asciiTheme="minorHAnsi" w:hAnsiTheme="minorHAnsi" w:cstheme="minorHAnsi"/>
                <w:szCs w:val="20"/>
              </w:rPr>
              <w:t>0000]</w:t>
            </w:r>
          </w:p>
        </w:tc>
      </w:tr>
      <w:tr w:rsidR="00CD6BB4" w:rsidRPr="00074369" w14:paraId="508B4443"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06EF302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Robusto SEM</w:t>
            </w:r>
          </w:p>
        </w:tc>
        <w:tc>
          <w:tcPr>
            <w:tcW w:w="1519" w:type="dxa"/>
            <w:vAlign w:val="center"/>
          </w:tcPr>
          <w:p w14:paraId="2117501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0.00 [0.9438]</w:t>
            </w:r>
          </w:p>
        </w:tc>
        <w:tc>
          <w:tcPr>
            <w:tcW w:w="1689" w:type="dxa"/>
            <w:vAlign w:val="center"/>
          </w:tcPr>
          <w:p w14:paraId="166848D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0.17 [0.6783]</w:t>
            </w:r>
          </w:p>
        </w:tc>
        <w:tc>
          <w:tcPr>
            <w:tcW w:w="1947" w:type="dxa"/>
            <w:gridSpan w:val="2"/>
            <w:vAlign w:val="center"/>
          </w:tcPr>
          <w:p w14:paraId="39C01D3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1.97 [0.1601]</w:t>
            </w:r>
          </w:p>
        </w:tc>
        <w:tc>
          <w:tcPr>
            <w:tcW w:w="1641" w:type="dxa"/>
            <w:vAlign w:val="center"/>
          </w:tcPr>
          <w:p w14:paraId="1A2D22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0.54 [0.4605]</w:t>
            </w:r>
          </w:p>
        </w:tc>
      </w:tr>
      <w:tr w:rsidR="00CD6BB4" w:rsidRPr="00074369" w14:paraId="2FF2F66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9C6A452" w14:textId="77777777" w:rsidR="00CD6BB4" w:rsidRPr="00074369" w:rsidRDefault="00CD6BB4" w:rsidP="007C15C8">
            <w:pPr>
              <w:spacing w:after="0" w:line="240" w:lineRule="auto"/>
              <w:jc w:val="left"/>
              <w:rPr>
                <w:rFonts w:asciiTheme="minorHAnsi" w:hAnsiTheme="minorHAnsi"/>
              </w:rPr>
            </w:pPr>
            <w:r w:rsidRPr="00074369">
              <w:t xml:space="preserve">Test LM Robusto </w:t>
            </w:r>
            <w:r w:rsidRPr="00074369">
              <w:rPr>
                <w:rFonts w:asciiTheme="minorHAnsi" w:hAnsiTheme="minorHAnsi" w:cstheme="minorHAnsi"/>
                <w:szCs w:val="20"/>
              </w:rPr>
              <w:t>SAR</w:t>
            </w:r>
          </w:p>
        </w:tc>
        <w:tc>
          <w:tcPr>
            <w:tcW w:w="1519" w:type="dxa"/>
            <w:tcBorders>
              <w:bottom w:val="single" w:sz="12" w:space="0" w:color="auto"/>
            </w:tcBorders>
            <w:vAlign w:val="center"/>
          </w:tcPr>
          <w:p w14:paraId="249A996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30.00</w:t>
            </w:r>
            <w:r w:rsidRPr="00074369">
              <w:t xml:space="preserve"> [0.</w:t>
            </w:r>
            <w:r w:rsidRPr="00074369">
              <w:rPr>
                <w:rFonts w:asciiTheme="minorHAnsi" w:hAnsiTheme="minorHAnsi" w:cstheme="minorHAnsi"/>
                <w:szCs w:val="20"/>
              </w:rPr>
              <w:t>0000</w:t>
            </w:r>
            <w:r w:rsidRPr="00074369">
              <w:t>]</w:t>
            </w:r>
          </w:p>
        </w:tc>
        <w:tc>
          <w:tcPr>
            <w:tcW w:w="1689" w:type="dxa"/>
            <w:tcBorders>
              <w:bottom w:val="single" w:sz="12" w:space="0" w:color="auto"/>
            </w:tcBorders>
            <w:vAlign w:val="center"/>
          </w:tcPr>
          <w:p w14:paraId="59FD01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28.33 [</w:t>
            </w:r>
            <w:r w:rsidRPr="00074369">
              <w:t>0.</w:t>
            </w:r>
            <w:r w:rsidRPr="00074369">
              <w:rPr>
                <w:rFonts w:asciiTheme="minorHAnsi" w:hAnsiTheme="minorHAnsi" w:cstheme="minorHAnsi"/>
                <w:szCs w:val="20"/>
              </w:rPr>
              <w:t>0000]</w:t>
            </w:r>
          </w:p>
        </w:tc>
        <w:tc>
          <w:tcPr>
            <w:tcW w:w="1947" w:type="dxa"/>
            <w:gridSpan w:val="2"/>
            <w:tcBorders>
              <w:bottom w:val="single" w:sz="12" w:space="0" w:color="auto"/>
            </w:tcBorders>
            <w:vAlign w:val="center"/>
          </w:tcPr>
          <w:p w14:paraId="5A26E5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35.23 [</w:t>
            </w:r>
            <w:r w:rsidRPr="00074369">
              <w:t>0.</w:t>
            </w:r>
            <w:r w:rsidRPr="00074369">
              <w:rPr>
                <w:rFonts w:asciiTheme="minorHAnsi" w:hAnsiTheme="minorHAnsi" w:cstheme="minorHAnsi"/>
                <w:szCs w:val="20"/>
              </w:rPr>
              <w:t>0000]</w:t>
            </w:r>
          </w:p>
        </w:tc>
        <w:tc>
          <w:tcPr>
            <w:tcW w:w="1641" w:type="dxa"/>
            <w:tcBorders>
              <w:bottom w:val="single" w:sz="12" w:space="0" w:color="auto"/>
            </w:tcBorders>
            <w:vAlign w:val="center"/>
          </w:tcPr>
          <w:p w14:paraId="213958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21.01 [</w:t>
            </w:r>
            <w:r w:rsidRPr="00074369">
              <w:t>0.</w:t>
            </w:r>
            <w:r w:rsidRPr="00074369">
              <w:rPr>
                <w:rFonts w:asciiTheme="minorHAnsi" w:hAnsiTheme="minorHAnsi" w:cstheme="minorHAnsi"/>
                <w:szCs w:val="20"/>
              </w:rPr>
              <w:t>0000]</w:t>
            </w:r>
          </w:p>
        </w:tc>
      </w:tr>
      <w:tr w:rsidR="00CD6BB4" w:rsidRPr="00074369" w14:paraId="651C48B8" w14:textId="77777777" w:rsidTr="00B745AC">
        <w:trPr>
          <w:cnfStyle w:val="100000000000" w:firstRow="1" w:lastRow="0" w:firstColumn="0" w:lastColumn="0" w:oddVBand="0" w:evenVBand="0" w:oddHBand="0" w:evenHBand="0" w:firstRowFirstColumn="0" w:firstRowLastColumn="0" w:lastRowFirstColumn="0" w:lastRowLastColumn="0"/>
        </w:trPr>
        <w:tc>
          <w:tcPr>
            <w:tcW w:w="8493" w:type="dxa"/>
            <w:gridSpan w:val="6"/>
            <w:tcBorders>
              <w:top w:val="single" w:sz="12" w:space="0" w:color="auto"/>
            </w:tcBorders>
            <w:hideMark/>
          </w:tcPr>
          <w:p w14:paraId="16E4DDC3" w14:textId="77777777" w:rsidR="00CD6BB4" w:rsidRPr="00074369" w:rsidRDefault="00CD6BB4" w:rsidP="007C15C8">
            <w:pPr>
              <w:spacing w:after="0" w:line="240" w:lineRule="auto"/>
              <w:jc w:val="center"/>
              <w:rPr>
                <w:rFonts w:asciiTheme="minorHAnsi" w:hAnsiTheme="minorHAnsi"/>
              </w:rPr>
            </w:pPr>
          </w:p>
        </w:tc>
      </w:tr>
      <w:tr w:rsidR="00CD6BB4" w:rsidRPr="00074369" w14:paraId="2529517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91EB49B"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Notas</w:t>
            </w:r>
            <w:r w:rsidRPr="00074369">
              <w:t>:</w:t>
            </w:r>
          </w:p>
        </w:tc>
        <w:tc>
          <w:tcPr>
            <w:tcW w:w="6796" w:type="dxa"/>
            <w:gridSpan w:val="5"/>
            <w:hideMark/>
          </w:tcPr>
          <w:p w14:paraId="7A035826"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vertAlign w:val="superscript"/>
              </w:rPr>
              <w:t>*</w:t>
            </w:r>
            <w:r w:rsidRPr="00074369">
              <w:rPr>
                <w:rFonts w:asciiTheme="minorHAnsi" w:hAnsiTheme="minorHAnsi"/>
              </w:rPr>
              <w:t>p&lt;0.1; </w:t>
            </w:r>
            <w:r w:rsidRPr="00074369">
              <w:rPr>
                <w:rFonts w:asciiTheme="minorHAnsi" w:hAnsiTheme="minorHAnsi"/>
                <w:vertAlign w:val="superscript"/>
              </w:rPr>
              <w:t>**</w:t>
            </w:r>
            <w:r w:rsidRPr="00074369">
              <w:rPr>
                <w:rFonts w:asciiTheme="minorHAnsi" w:hAnsiTheme="minorHAnsi"/>
              </w:rPr>
              <w:t>p&lt;0.05; </w:t>
            </w:r>
            <w:r w:rsidRPr="00074369">
              <w:rPr>
                <w:rFonts w:asciiTheme="minorHAnsi" w:hAnsiTheme="minorHAnsi"/>
                <w:vertAlign w:val="superscript"/>
              </w:rPr>
              <w:t>***</w:t>
            </w:r>
            <w:r w:rsidRPr="00074369">
              <w:rPr>
                <w:rFonts w:asciiTheme="minorHAnsi" w:hAnsiTheme="minorHAnsi"/>
              </w:rPr>
              <w:t>p&lt;0.01</w:t>
            </w:r>
          </w:p>
          <w:p w14:paraId="6D59B2B2"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cstheme="minorHAnsi"/>
                <w:szCs w:val="20"/>
              </w:rPr>
              <w:t>Para Test LM, valor p en [ ]</w:t>
            </w:r>
          </w:p>
        </w:tc>
      </w:tr>
    </w:tbl>
    <w:p w14:paraId="3D275DB5" w14:textId="7BFD0733" w:rsidR="00CD6BB4" w:rsidRDefault="00CD6BB4" w:rsidP="00CD6BB4">
      <w:pPr>
        <w:pStyle w:val="Fuente"/>
      </w:pPr>
      <w:r w:rsidRPr="00074369">
        <w:t>Fuente: Elaboración propia, 2019</w:t>
      </w:r>
    </w:p>
    <w:p w14:paraId="350A2038" w14:textId="0F41ABD2" w:rsidR="009F2EBC" w:rsidRPr="009F2EBC" w:rsidRDefault="009F2EBC" w:rsidP="009F2EBC">
      <w:r w:rsidRPr="00074369">
        <w:t xml:space="preserve">Siguiendo lo discutido en el apartado </w:t>
      </w:r>
      <w:r w:rsidRPr="00074369">
        <w:fldChar w:fldCharType="begin"/>
      </w:r>
      <w:r w:rsidRPr="00074369">
        <w:instrText xml:space="preserve"> REF _Ref7077941 \n \h </w:instrText>
      </w:r>
      <w:r w:rsidRPr="00074369">
        <w:fldChar w:fldCharType="separate"/>
      </w:r>
      <w:r w:rsidR="004C0429">
        <w:t>2</w:t>
      </w:r>
      <w:r w:rsidRPr="00074369">
        <w:fldChar w:fldCharType="end"/>
      </w:r>
      <w:r w:rsidRPr="00074369">
        <w:t xml:space="preserve"> del </w:t>
      </w:r>
      <w:r w:rsidRPr="00074369">
        <w:fldChar w:fldCharType="begin"/>
      </w:r>
      <w:r w:rsidRPr="00074369">
        <w:instrText xml:space="preserve"> REF _Ref5724450 \r \# 0 \h </w:instrText>
      </w:r>
      <w:r w:rsidRPr="00074369">
        <w:fldChar w:fldCharType="separate"/>
      </w:r>
      <w:r w:rsidR="004C0429">
        <w:t>Capítulo II</w:t>
      </w:r>
      <w:r w:rsidRPr="00074369">
        <w:fldChar w:fldCharType="end"/>
      </w:r>
      <w:r w:rsidRPr="00074369">
        <w:t xml:space="preserve">, </w:t>
      </w:r>
      <w:r>
        <w:t xml:space="preserve">las tablas </w:t>
      </w:r>
      <w:r w:rsidR="007F54E5" w:rsidRPr="00074369">
        <w:fldChar w:fldCharType="begin"/>
      </w:r>
      <w:r w:rsidR="007F54E5" w:rsidRPr="00074369">
        <w:instrText xml:space="preserve"> REF _Ref9167006 \# 0 \h </w:instrText>
      </w:r>
      <w:r w:rsidR="007F54E5" w:rsidRPr="00074369">
        <w:fldChar w:fldCharType="separate"/>
      </w:r>
      <w:r w:rsidR="004C0429">
        <w:t>11</w:t>
      </w:r>
      <w:r w:rsidR="007F54E5" w:rsidRPr="00074369">
        <w:fldChar w:fldCharType="end"/>
      </w:r>
      <w:r w:rsidR="007F54E5" w:rsidRPr="00074369">
        <w:t xml:space="preserve"> y </w:t>
      </w:r>
      <w:r w:rsidR="007F54E5" w:rsidRPr="00074369">
        <w:fldChar w:fldCharType="begin"/>
      </w:r>
      <w:r w:rsidR="007F54E5" w:rsidRPr="00074369">
        <w:instrText xml:space="preserve"> REF _Ref9167008 \# 0 \h </w:instrText>
      </w:r>
      <w:r w:rsidR="007F54E5" w:rsidRPr="00074369">
        <w:fldChar w:fldCharType="separate"/>
      </w:r>
      <w:r w:rsidR="004C0429">
        <w:t>12</w:t>
      </w:r>
      <w:r w:rsidR="007F54E5" w:rsidRPr="00074369">
        <w:fldChar w:fldCharType="end"/>
      </w:r>
      <w:r w:rsidR="007F54E5">
        <w:t xml:space="preserve"> </w:t>
      </w:r>
      <w:r w:rsidRPr="00074369">
        <w:fldChar w:fldCharType="begin"/>
      </w:r>
      <w:r w:rsidRPr="00074369">
        <w:instrText xml:space="preserve"> REF _Ref6331822 \h </w:instrText>
      </w:r>
      <w:r w:rsidRPr="00074369">
        <w:fldChar w:fldCharType="end"/>
      </w:r>
      <w:r>
        <w:t>muestran</w:t>
      </w:r>
      <w:r w:rsidRPr="00074369">
        <w:t xml:space="preserve"> los resultados de las pruebas robustas de </w:t>
      </w:r>
      <w:proofErr w:type="spellStart"/>
      <w:r w:rsidRPr="00074369">
        <w:t>Anselin</w:t>
      </w:r>
      <w:proofErr w:type="spellEnd"/>
      <w:r w:rsidRPr="00074369">
        <w:t xml:space="preserve"> para determinar si el modelo de rezagos espaciales o el modelo de errores espaciales permite explicar mejor los datos. En este caso, el test LM Robusto para el modelo </w:t>
      </w:r>
      <w:proofErr w:type="spellStart"/>
      <w:r w:rsidRPr="00074369">
        <w:t>autoregresivo</w:t>
      </w:r>
      <w:proofErr w:type="spellEnd"/>
      <w:r w:rsidRPr="00074369">
        <w:t xml:space="preserve"> espacial (SAR) es significativo para todos los cortes, en tanto que el test del modelo espacial de errores no lo es. </w:t>
      </w:r>
      <w:r>
        <w:t xml:space="preserve">En consecuencia, </w:t>
      </w:r>
      <w:r w:rsidRPr="00074369">
        <w:t>se estima el modelo espacial de Durbin que incluye rezagos espaciales para la variable dependiente y las variables independientes</w:t>
      </w:r>
      <w:r>
        <w:t xml:space="preserve"> </w:t>
      </w:r>
      <w:r w:rsidRPr="00074369">
        <w:fldChar w:fldCharType="begin"/>
      </w:r>
      <w:r w:rsidR="006F6D84">
        <w:instrText xml:space="preserve"> ADDIN ZOTERO_ITEM CSL_CITATION {"citationID":"hbtTZEj1","properties":{"formattedCitation":"(Elhorst, 2010)","plainCitation":"(Elhorst, 2010)","noteIndex":0},"citationItems":[{"id":670,"uris":["http://zotero.org/groups/2269288/items/Z6W4LAXW"],"uri":["http://zotero.org/groups/2269288/items/Z6W4LAXW"],"itemData":{"id":670,"type":"article-journal","abstract":"This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libro.","container-title":"Spatial Economic Analysis","DOI":"10.1080/17421770903541772","ISSN":"1742-1772","issue":"1","note":"Citation Key: elhorstAppliedSpatialEconometrics2010","page":"9-28","source":"Taylor and Francis+NEJM","title":"Applied Spatial Econometrics: Raising the Bar","title-short":"Applied Spatial Econometrics","volume":"5","author":[{"family":"Elhorst","given":"J. Paul"}],"issued":{"date-parts":[["2010",3,1]]}}}],"schema":"https://github.com/citation-style-language/schema/raw/master/csl-citation.json"} </w:instrText>
      </w:r>
      <w:r w:rsidRPr="00074369">
        <w:fldChar w:fldCharType="separate"/>
      </w:r>
      <w:r w:rsidR="00355C59" w:rsidRPr="00355C59">
        <w:rPr>
          <w:rFonts w:ascii="Times New Roman" w:hAnsi="Times New Roman"/>
        </w:rPr>
        <w:t>(</w:t>
      </w:r>
      <w:proofErr w:type="spellStart"/>
      <w:r w:rsidR="00355C59" w:rsidRPr="00355C59">
        <w:rPr>
          <w:rFonts w:ascii="Times New Roman" w:hAnsi="Times New Roman"/>
        </w:rPr>
        <w:t>Elhorst</w:t>
      </w:r>
      <w:proofErr w:type="spellEnd"/>
      <w:r w:rsidR="00355C59" w:rsidRPr="00355C59">
        <w:rPr>
          <w:rFonts w:ascii="Times New Roman" w:hAnsi="Times New Roman"/>
        </w:rPr>
        <w:t>, 2010)</w:t>
      </w:r>
      <w:r w:rsidRPr="00074369">
        <w:fldChar w:fldCharType="end"/>
      </w:r>
      <w:r w:rsidRPr="00074369">
        <w:t xml:space="preserve">. Luego, se restringen los modelos según lo indicado en el </w:t>
      </w:r>
      <w:r w:rsidR="001515EE">
        <w:t xml:space="preserve">gráfico </w:t>
      </w:r>
      <w:r w:rsidR="004C0429">
        <w:fldChar w:fldCharType="begin"/>
      </w:r>
      <w:r w:rsidR="004C0429">
        <w:instrText xml:space="preserve"> REF _Ref9171813 </w:instrText>
      </w:r>
      <w:r w:rsidR="001515EE" w:rsidRPr="001515EE">
        <w:instrText>\# 0</w:instrText>
      </w:r>
      <w:r w:rsidR="001515EE">
        <w:instrText xml:space="preserve"> </w:instrText>
      </w:r>
      <w:r w:rsidR="004C0429">
        <w:instrText xml:space="preserve">\h </w:instrText>
      </w:r>
      <w:r w:rsidR="004C0429">
        <w:fldChar w:fldCharType="separate"/>
      </w:r>
      <w:r w:rsidR="001515EE">
        <w:t>1</w:t>
      </w:r>
      <w:r w:rsidR="004C0429">
        <w:fldChar w:fldCharType="end"/>
      </w:r>
      <w:r w:rsidR="001515EE">
        <w:t xml:space="preserve"> </w:t>
      </w:r>
      <w:r w:rsidRPr="00074369">
        <w:t>para realizar las prue</w:t>
      </w:r>
      <w:r>
        <w:t xml:space="preserve">bas de ratio de verosimilitud </w:t>
      </w:r>
      <w:r w:rsidRPr="00074369">
        <w:t xml:space="preserve">para las hipótesis </w:t>
      </w:r>
      <m:oMath>
        <m:r>
          <w:rPr>
            <w:rFonts w:ascii="Cambria Math" w:hAnsi="Cambria Math"/>
          </w:rPr>
          <m:t>H_0^1</m:t>
        </m:r>
        <m:r>
          <w:rPr>
            <w:rFonts w:ascii="Cambria Math" w:hAnsi="Cambria Math"/>
          </w:rPr>
          <m:t>:θ=0</m:t>
        </m:r>
      </m:oMath>
      <w:r w:rsidRPr="00074369">
        <w:t xml:space="preserve"> y </w:t>
      </w:r>
      <m:oMath>
        <m:r>
          <w:rPr>
            <w:rFonts w:ascii="Cambria Math" w:hAnsi="Cambria Math"/>
          </w:rPr>
          <m:t>H_0^2</m:t>
        </m:r>
        <m:r>
          <w:rPr>
            <w:rFonts w:ascii="Cambria Math" w:hAnsi="Cambria Math"/>
          </w:rPr>
          <m:t>:θ+ρβ=0</m:t>
        </m:r>
      </m:oMath>
      <w:r w:rsidRPr="00074369">
        <w:t xml:space="preserve">. </w:t>
      </w:r>
      <w:commentRangeStart w:id="210"/>
      <w:commentRangeStart w:id="211"/>
      <w:r w:rsidRPr="00074369">
        <w:t>Si no se rechaza la primera hipótesis, el modelo puede ser sim</w:t>
      </w:r>
      <w:proofErr w:type="spellStart"/>
      <w:r w:rsidRPr="00074369">
        <w:t>plificado</w:t>
      </w:r>
      <w:proofErr w:type="spellEnd"/>
      <w:r w:rsidRPr="00074369">
        <w:t xml:space="preserve"> un modelo de rezago espacial. Si se falla en rechazar la segunda, el modelo puede ser simplificado un modelo de errores </w:t>
      </w:r>
      <w:r w:rsidRPr="00074369">
        <w:lastRenderedPageBreak/>
        <w:t>espaciales. En caso ambas hipótesis sean rechazadas, el modelo espacial de Durbin es el que mejor describe los datos.</w:t>
      </w:r>
      <w:commentRangeEnd w:id="210"/>
      <w:r w:rsidRPr="00074369">
        <w:rPr>
          <w:rStyle w:val="Refdecomentario"/>
        </w:rPr>
        <w:commentReference w:id="210"/>
      </w:r>
      <w:commentRangeEnd w:id="211"/>
      <w:r w:rsidRPr="00074369">
        <w:rPr>
          <w:rStyle w:val="Refdecomentario"/>
        </w:rPr>
        <w:commentReference w:id="211"/>
      </w:r>
      <w:r w:rsidRPr="00074369">
        <w:t xml:space="preserve"> Los resultados </w:t>
      </w:r>
      <w:r>
        <w:t xml:space="preserve">de </w:t>
      </w:r>
      <w:r w:rsidRPr="00074369">
        <w:t xml:space="preserve">la tabla </w:t>
      </w:r>
      <w:r w:rsidRPr="00074369">
        <w:fldChar w:fldCharType="begin"/>
      </w:r>
      <w:r w:rsidRPr="00074369">
        <w:instrText xml:space="preserve"> REF _Ref6341542 \h </w:instrText>
      </w:r>
      <w:r w:rsidRPr="00074369">
        <w:fldChar w:fldCharType="end"/>
      </w:r>
      <w:r w:rsidRPr="00074369">
        <w:fldChar w:fldCharType="begin"/>
      </w:r>
      <w:r w:rsidRPr="00074369">
        <w:instrText xml:space="preserve"> REF _Ref9167495 \# 0 \h </w:instrText>
      </w:r>
      <w:r w:rsidRPr="00074369">
        <w:fldChar w:fldCharType="separate"/>
      </w:r>
      <w:r w:rsidR="004C0429">
        <w:t>13</w:t>
      </w:r>
      <w:r w:rsidRPr="00074369">
        <w:fldChar w:fldCharType="end"/>
      </w:r>
      <w:r w:rsidRPr="00074369">
        <w:t xml:space="preserve"> indican que se puede simplificar al modelo </w:t>
      </w:r>
      <w:proofErr w:type="spellStart"/>
      <w:r w:rsidRPr="00074369">
        <w:t>autoregresivo</w:t>
      </w:r>
      <w:proofErr w:type="spellEnd"/>
      <w:r w:rsidRPr="00074369">
        <w:t xml:space="preserve"> espacial (SAR) para el di</w:t>
      </w:r>
      <w:r w:rsidR="0051146E">
        <w:t xml:space="preserve">ésel </w:t>
      </w:r>
      <w:r>
        <w:t xml:space="preserve">y se debe utilizar el modelo de Durbin para el </w:t>
      </w:r>
      <w:proofErr w:type="spellStart"/>
      <w:r>
        <w:t>gasohol</w:t>
      </w:r>
      <w:proofErr w:type="spellEnd"/>
      <w:r>
        <w:t xml:space="preserve"> 90.</w:t>
      </w:r>
    </w:p>
    <w:p w14:paraId="2A42BEEC" w14:textId="358B0E91" w:rsidR="00CD6BB4" w:rsidRPr="00074369" w:rsidRDefault="00CD6BB4" w:rsidP="00CD6BB4">
      <w:pPr>
        <w:pStyle w:val="Descripcin"/>
      </w:pPr>
      <w:bookmarkStart w:id="212" w:name="_Ref9167008"/>
      <w:bookmarkStart w:id="213" w:name="_Toc9171801"/>
      <w:r w:rsidRPr="00074369">
        <w:t xml:space="preserve">Tabla </w:t>
      </w:r>
      <w:r w:rsidRPr="00074369">
        <w:fldChar w:fldCharType="begin"/>
      </w:r>
      <w:r w:rsidRPr="00074369">
        <w:instrText xml:space="preserve"> SEQ Tabla \* ARABIC </w:instrText>
      </w:r>
      <w:r w:rsidRPr="00074369">
        <w:fldChar w:fldCharType="separate"/>
      </w:r>
      <w:r w:rsidR="004C0429">
        <w:rPr>
          <w:noProof/>
        </w:rPr>
        <w:t>12</w:t>
      </w:r>
      <w:r w:rsidRPr="00074369">
        <w:fldChar w:fldCharType="end"/>
      </w:r>
      <w:bookmarkEnd w:id="212"/>
      <w:r w:rsidRPr="00074369">
        <w:t xml:space="preserve">: Resultados de regresión lineal por MCO - Combustible </w:t>
      </w:r>
      <w:proofErr w:type="spellStart"/>
      <w:r w:rsidRPr="00074369">
        <w:t>Gasohol</w:t>
      </w:r>
      <w:proofErr w:type="spellEnd"/>
      <w:r w:rsidRPr="00074369">
        <w:t xml:space="preserve"> 90 octanos</w:t>
      </w:r>
      <w:bookmarkEnd w:id="213"/>
    </w:p>
    <w:tbl>
      <w:tblPr>
        <w:tblStyle w:val="tesis"/>
        <w:tblW w:w="0" w:type="auto"/>
        <w:tblLook w:val="04A0" w:firstRow="1" w:lastRow="0" w:firstColumn="1" w:lastColumn="0" w:noHBand="0" w:noVBand="1"/>
      </w:tblPr>
      <w:tblGrid>
        <w:gridCol w:w="2089"/>
        <w:gridCol w:w="1561"/>
        <w:gridCol w:w="1561"/>
        <w:gridCol w:w="1561"/>
        <w:gridCol w:w="1561"/>
      </w:tblGrid>
      <w:tr w:rsidR="00CD6BB4" w:rsidRPr="00074369" w14:paraId="3DB7759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17571BB7" w14:textId="77777777" w:rsidR="00CD6BB4" w:rsidRPr="00074369" w:rsidRDefault="00CD6BB4" w:rsidP="007C15C8">
            <w:pPr>
              <w:spacing w:after="0" w:line="240" w:lineRule="auto"/>
              <w:jc w:val="center"/>
              <w:rPr>
                <w:rFonts w:asciiTheme="minorHAnsi" w:hAnsiTheme="minorHAnsi" w:cstheme="minorHAnsi"/>
                <w:szCs w:val="20"/>
              </w:rPr>
            </w:pPr>
          </w:p>
        </w:tc>
        <w:tc>
          <w:tcPr>
            <w:tcW w:w="0" w:type="auto"/>
            <w:tcBorders>
              <w:bottom w:val="single" w:sz="6" w:space="0" w:color="auto"/>
            </w:tcBorders>
            <w:hideMark/>
          </w:tcPr>
          <w:p w14:paraId="03CEED5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6" w:space="0" w:color="auto"/>
            </w:tcBorders>
            <w:hideMark/>
          </w:tcPr>
          <w:p w14:paraId="3472C18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6" w:space="0" w:color="auto"/>
            </w:tcBorders>
            <w:hideMark/>
          </w:tcPr>
          <w:p w14:paraId="3176F2A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0" w:type="auto"/>
            <w:tcBorders>
              <w:bottom w:val="single" w:sz="6" w:space="0" w:color="auto"/>
            </w:tcBorders>
            <w:hideMark/>
          </w:tcPr>
          <w:p w14:paraId="3B4769E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5BF109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422759E1"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Petroperú</w:t>
            </w:r>
          </w:p>
        </w:tc>
        <w:tc>
          <w:tcPr>
            <w:tcW w:w="0" w:type="auto"/>
            <w:tcBorders>
              <w:top w:val="single" w:sz="6" w:space="0" w:color="auto"/>
            </w:tcBorders>
            <w:hideMark/>
          </w:tcPr>
          <w:p w14:paraId="7AAFE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0.144 (0.094)</w:t>
            </w:r>
          </w:p>
        </w:tc>
        <w:tc>
          <w:tcPr>
            <w:tcW w:w="0" w:type="auto"/>
            <w:tcBorders>
              <w:top w:val="single" w:sz="6" w:space="0" w:color="auto"/>
            </w:tcBorders>
            <w:hideMark/>
          </w:tcPr>
          <w:p w14:paraId="49CE863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 (0.098)</w:t>
            </w:r>
          </w:p>
        </w:tc>
        <w:tc>
          <w:tcPr>
            <w:tcW w:w="0" w:type="auto"/>
            <w:tcBorders>
              <w:top w:val="single" w:sz="6" w:space="0" w:color="auto"/>
            </w:tcBorders>
            <w:hideMark/>
          </w:tcPr>
          <w:p w14:paraId="12FF051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 (0.090)</w:t>
            </w:r>
          </w:p>
        </w:tc>
        <w:tc>
          <w:tcPr>
            <w:tcW w:w="0" w:type="auto"/>
            <w:tcBorders>
              <w:top w:val="single" w:sz="6" w:space="0" w:color="auto"/>
            </w:tcBorders>
            <w:hideMark/>
          </w:tcPr>
          <w:p w14:paraId="5C73A79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0.112 (0.095)</w:t>
            </w:r>
          </w:p>
        </w:tc>
      </w:tr>
      <w:tr w:rsidR="00CD6BB4" w:rsidRPr="00074369" w14:paraId="1E7C9D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9185F30"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Pecsa</w:t>
            </w:r>
          </w:p>
        </w:tc>
        <w:tc>
          <w:tcPr>
            <w:tcW w:w="0" w:type="auto"/>
            <w:hideMark/>
          </w:tcPr>
          <w:p w14:paraId="470884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0.310</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CC01D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0.307</w:t>
            </w:r>
            <w:r w:rsidRPr="00074369">
              <w:rPr>
                <w:rFonts w:asciiTheme="minorHAnsi" w:hAnsiTheme="minorHAnsi" w:cstheme="minorHAnsi"/>
                <w:szCs w:val="20"/>
                <w:vertAlign w:val="superscript"/>
              </w:rPr>
              <w:t>***</w:t>
            </w:r>
            <w:r w:rsidRPr="00074369">
              <w:rPr>
                <w:rFonts w:asciiTheme="minorHAnsi" w:hAnsiTheme="minorHAnsi" w:cstheme="minorHAnsi"/>
                <w:szCs w:val="20"/>
              </w:rPr>
              <w:t> (0.112)</w:t>
            </w:r>
          </w:p>
        </w:tc>
        <w:tc>
          <w:tcPr>
            <w:tcW w:w="0" w:type="auto"/>
            <w:hideMark/>
          </w:tcPr>
          <w:p w14:paraId="61276C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0.236</w:t>
            </w:r>
            <w:r w:rsidRPr="00074369">
              <w:rPr>
                <w:rFonts w:asciiTheme="minorHAnsi" w:hAnsiTheme="minorHAnsi" w:cstheme="minorHAnsi"/>
                <w:szCs w:val="20"/>
                <w:vertAlign w:val="superscript"/>
              </w:rPr>
              <w:t>**</w:t>
            </w:r>
            <w:r w:rsidRPr="00074369">
              <w:rPr>
                <w:rFonts w:asciiTheme="minorHAnsi" w:hAnsiTheme="minorHAnsi" w:cstheme="minorHAnsi"/>
                <w:szCs w:val="20"/>
              </w:rPr>
              <w:t> (0.104)</w:t>
            </w:r>
          </w:p>
        </w:tc>
        <w:tc>
          <w:tcPr>
            <w:tcW w:w="0" w:type="auto"/>
            <w:hideMark/>
          </w:tcPr>
          <w:p w14:paraId="4079DF6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0.312</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r>
      <w:tr w:rsidR="00CD6BB4" w:rsidRPr="00074369" w14:paraId="0616A21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B24576"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Primax</w:t>
            </w:r>
          </w:p>
        </w:tc>
        <w:tc>
          <w:tcPr>
            <w:tcW w:w="0" w:type="auto"/>
            <w:hideMark/>
          </w:tcPr>
          <w:p w14:paraId="2B1F882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0.586</w:t>
            </w:r>
            <w:r w:rsidRPr="00074369">
              <w:rPr>
                <w:rFonts w:asciiTheme="minorHAnsi" w:hAnsiTheme="minorHAnsi" w:cstheme="minorHAnsi"/>
                <w:szCs w:val="20"/>
                <w:vertAlign w:val="superscript"/>
              </w:rPr>
              <w:t>***</w:t>
            </w:r>
            <w:r w:rsidRPr="00074369">
              <w:rPr>
                <w:rFonts w:asciiTheme="minorHAnsi" w:hAnsiTheme="minorHAnsi" w:cstheme="minorHAnsi"/>
                <w:szCs w:val="20"/>
              </w:rPr>
              <w:t> (0.081)</w:t>
            </w:r>
          </w:p>
        </w:tc>
        <w:tc>
          <w:tcPr>
            <w:tcW w:w="0" w:type="auto"/>
            <w:hideMark/>
          </w:tcPr>
          <w:p w14:paraId="73B7E4A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0.582</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70CD129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0.450</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064E54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0.575</w:t>
            </w:r>
            <w:r w:rsidRPr="00074369">
              <w:rPr>
                <w:rFonts w:asciiTheme="minorHAnsi" w:hAnsiTheme="minorHAnsi" w:cstheme="minorHAnsi"/>
                <w:szCs w:val="20"/>
                <w:vertAlign w:val="superscript"/>
              </w:rPr>
              <w:t>***</w:t>
            </w:r>
            <w:r w:rsidRPr="00074369">
              <w:rPr>
                <w:rFonts w:asciiTheme="minorHAnsi" w:hAnsiTheme="minorHAnsi" w:cstheme="minorHAnsi"/>
                <w:szCs w:val="20"/>
              </w:rPr>
              <w:t> (0.082)</w:t>
            </w:r>
          </w:p>
        </w:tc>
      </w:tr>
      <w:tr w:rsidR="00CD6BB4" w:rsidRPr="00074369" w14:paraId="232D36B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544F3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Repsol</w:t>
            </w:r>
          </w:p>
        </w:tc>
        <w:tc>
          <w:tcPr>
            <w:tcW w:w="0" w:type="auto"/>
            <w:hideMark/>
          </w:tcPr>
          <w:p w14:paraId="167030E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0.468</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690FBB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0.331</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c>
          <w:tcPr>
            <w:tcW w:w="0" w:type="auto"/>
            <w:hideMark/>
          </w:tcPr>
          <w:p w14:paraId="1BA534D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0.309</w:t>
            </w:r>
            <w:r w:rsidRPr="00074369">
              <w:rPr>
                <w:rFonts w:asciiTheme="minorHAnsi" w:hAnsiTheme="minorHAnsi" w:cstheme="minorHAnsi"/>
                <w:szCs w:val="20"/>
                <w:vertAlign w:val="superscript"/>
              </w:rPr>
              <w:t>***</w:t>
            </w:r>
            <w:r w:rsidRPr="00074369">
              <w:rPr>
                <w:rFonts w:asciiTheme="minorHAnsi" w:hAnsiTheme="minorHAnsi" w:cstheme="minorHAnsi"/>
                <w:szCs w:val="20"/>
              </w:rPr>
              <w:t> (0.085)</w:t>
            </w:r>
          </w:p>
        </w:tc>
        <w:tc>
          <w:tcPr>
            <w:tcW w:w="0" w:type="auto"/>
            <w:hideMark/>
          </w:tcPr>
          <w:p w14:paraId="2BE8F5D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0.382</w:t>
            </w:r>
            <w:r w:rsidRPr="00074369">
              <w:rPr>
                <w:rFonts w:asciiTheme="minorHAnsi" w:hAnsiTheme="minorHAnsi" w:cstheme="minorHAnsi"/>
                <w:szCs w:val="20"/>
                <w:vertAlign w:val="superscript"/>
              </w:rPr>
              <w:t>***</w:t>
            </w:r>
            <w:r w:rsidRPr="00074369">
              <w:rPr>
                <w:rFonts w:asciiTheme="minorHAnsi" w:hAnsiTheme="minorHAnsi" w:cstheme="minorHAnsi"/>
                <w:szCs w:val="20"/>
              </w:rPr>
              <w:t> (0.090)</w:t>
            </w:r>
          </w:p>
        </w:tc>
      </w:tr>
      <w:tr w:rsidR="00CD6BB4" w:rsidRPr="00074369" w14:paraId="47E25B5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898E7F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Pecsa</w:t>
            </w:r>
          </w:p>
        </w:tc>
        <w:tc>
          <w:tcPr>
            <w:tcW w:w="0" w:type="auto"/>
            <w:hideMark/>
          </w:tcPr>
          <w:p w14:paraId="3D08C92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-0.116 (0.118)</w:t>
            </w:r>
          </w:p>
        </w:tc>
        <w:tc>
          <w:tcPr>
            <w:tcW w:w="0" w:type="auto"/>
            <w:hideMark/>
          </w:tcPr>
          <w:p w14:paraId="15189FE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0.080 (0.122)</w:t>
            </w:r>
          </w:p>
        </w:tc>
        <w:tc>
          <w:tcPr>
            <w:tcW w:w="0" w:type="auto"/>
            <w:hideMark/>
          </w:tcPr>
          <w:p w14:paraId="6CBB1B2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0.158 (0.113)</w:t>
            </w:r>
          </w:p>
        </w:tc>
        <w:tc>
          <w:tcPr>
            <w:tcW w:w="0" w:type="auto"/>
            <w:hideMark/>
          </w:tcPr>
          <w:p w14:paraId="610CECB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0.171 (0.119)</w:t>
            </w:r>
          </w:p>
        </w:tc>
      </w:tr>
      <w:tr w:rsidR="00CD6BB4" w:rsidRPr="00074369" w14:paraId="0BAD99C0"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1D6BB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Primax</w:t>
            </w:r>
          </w:p>
        </w:tc>
        <w:tc>
          <w:tcPr>
            <w:tcW w:w="0" w:type="auto"/>
            <w:hideMark/>
          </w:tcPr>
          <w:p w14:paraId="35F04F5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0.257</w:t>
            </w:r>
            <w:r w:rsidRPr="00074369">
              <w:rPr>
                <w:rFonts w:asciiTheme="minorHAnsi" w:hAnsiTheme="minorHAnsi" w:cstheme="minorHAnsi"/>
                <w:szCs w:val="20"/>
                <w:vertAlign w:val="superscript"/>
              </w:rPr>
              <w:t>**</w:t>
            </w:r>
            <w:r w:rsidRPr="00074369">
              <w:rPr>
                <w:rFonts w:asciiTheme="minorHAnsi" w:hAnsiTheme="minorHAnsi" w:cstheme="minorHAnsi"/>
                <w:szCs w:val="20"/>
              </w:rPr>
              <w:t> (0.105)</w:t>
            </w:r>
          </w:p>
        </w:tc>
        <w:tc>
          <w:tcPr>
            <w:tcW w:w="0" w:type="auto"/>
            <w:hideMark/>
          </w:tcPr>
          <w:p w14:paraId="5F218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0.297</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46EA40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0.311</w:t>
            </w:r>
            <w:r w:rsidRPr="00074369">
              <w:rPr>
                <w:rFonts w:asciiTheme="minorHAnsi" w:hAnsiTheme="minorHAnsi" w:cstheme="minorHAnsi"/>
                <w:szCs w:val="20"/>
                <w:vertAlign w:val="superscript"/>
              </w:rPr>
              <w:t>***</w:t>
            </w:r>
            <w:r w:rsidRPr="00074369">
              <w:rPr>
                <w:rFonts w:asciiTheme="minorHAnsi" w:hAnsiTheme="minorHAnsi" w:cstheme="minorHAnsi"/>
                <w:szCs w:val="20"/>
              </w:rPr>
              <w:t> (0.101)</w:t>
            </w:r>
          </w:p>
        </w:tc>
        <w:tc>
          <w:tcPr>
            <w:tcW w:w="0" w:type="auto"/>
            <w:hideMark/>
          </w:tcPr>
          <w:p w14:paraId="4396CF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0.599</w:t>
            </w:r>
            <w:r w:rsidRPr="00074369">
              <w:rPr>
                <w:rFonts w:asciiTheme="minorHAnsi" w:hAnsiTheme="minorHAnsi" w:cstheme="minorHAnsi"/>
                <w:szCs w:val="20"/>
                <w:vertAlign w:val="superscript"/>
              </w:rPr>
              <w:t>***</w:t>
            </w:r>
            <w:r w:rsidRPr="00074369">
              <w:rPr>
                <w:rFonts w:asciiTheme="minorHAnsi" w:hAnsiTheme="minorHAnsi" w:cstheme="minorHAnsi"/>
                <w:szCs w:val="20"/>
              </w:rPr>
              <w:t> (0.106)</w:t>
            </w:r>
          </w:p>
        </w:tc>
      </w:tr>
      <w:tr w:rsidR="00CD6BB4" w:rsidRPr="00074369" w14:paraId="64B7436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DF024C8"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Repsol</w:t>
            </w:r>
          </w:p>
        </w:tc>
        <w:tc>
          <w:tcPr>
            <w:tcW w:w="0" w:type="auto"/>
            <w:hideMark/>
          </w:tcPr>
          <w:p w14:paraId="20BFD1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0.399</w:t>
            </w:r>
            <w:r w:rsidRPr="00074369">
              <w:rPr>
                <w:rFonts w:asciiTheme="minorHAnsi" w:hAnsiTheme="minorHAnsi" w:cstheme="minorHAnsi"/>
                <w:szCs w:val="20"/>
                <w:vertAlign w:val="superscript"/>
              </w:rPr>
              <w:t>***</w:t>
            </w:r>
            <w:r w:rsidRPr="00074369">
              <w:rPr>
                <w:rFonts w:asciiTheme="minorHAnsi" w:hAnsiTheme="minorHAnsi" w:cstheme="minorHAnsi"/>
                <w:szCs w:val="20"/>
              </w:rPr>
              <w:t> (0.092)</w:t>
            </w:r>
          </w:p>
        </w:tc>
        <w:tc>
          <w:tcPr>
            <w:tcW w:w="0" w:type="auto"/>
            <w:hideMark/>
          </w:tcPr>
          <w:p w14:paraId="79E10B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0.273</w:t>
            </w:r>
            <w:r w:rsidRPr="00074369">
              <w:rPr>
                <w:rFonts w:asciiTheme="minorHAnsi" w:hAnsiTheme="minorHAnsi" w:cstheme="minorHAnsi"/>
                <w:szCs w:val="20"/>
                <w:vertAlign w:val="superscript"/>
              </w:rPr>
              <w:t>***</w:t>
            </w:r>
            <w:r w:rsidRPr="00074369">
              <w:rPr>
                <w:rFonts w:asciiTheme="minorHAnsi" w:hAnsiTheme="minorHAnsi" w:cstheme="minorHAnsi"/>
                <w:szCs w:val="20"/>
              </w:rPr>
              <w:t> (0.096)</w:t>
            </w:r>
          </w:p>
        </w:tc>
        <w:tc>
          <w:tcPr>
            <w:tcW w:w="0" w:type="auto"/>
            <w:hideMark/>
          </w:tcPr>
          <w:p w14:paraId="49831F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0.169</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46667C3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0.509</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r>
      <w:tr w:rsidR="00CD6BB4" w:rsidRPr="00074369" w14:paraId="1F3F193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A1E4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SC</w:t>
            </w:r>
          </w:p>
        </w:tc>
        <w:tc>
          <w:tcPr>
            <w:tcW w:w="0" w:type="auto"/>
            <w:hideMark/>
          </w:tcPr>
          <w:p w14:paraId="0EBFE0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0.251 (0.183)</w:t>
            </w:r>
          </w:p>
        </w:tc>
        <w:tc>
          <w:tcPr>
            <w:tcW w:w="0" w:type="auto"/>
            <w:hideMark/>
          </w:tcPr>
          <w:p w14:paraId="7209AF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0.117 (0.191)</w:t>
            </w:r>
          </w:p>
        </w:tc>
        <w:tc>
          <w:tcPr>
            <w:tcW w:w="0" w:type="auto"/>
            <w:hideMark/>
          </w:tcPr>
          <w:p w14:paraId="789B64F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-0.099 (0.106)</w:t>
            </w:r>
          </w:p>
        </w:tc>
        <w:tc>
          <w:tcPr>
            <w:tcW w:w="0" w:type="auto"/>
            <w:hideMark/>
          </w:tcPr>
          <w:p w14:paraId="7C7E95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(0.111)</w:t>
            </w:r>
          </w:p>
        </w:tc>
      </w:tr>
      <w:tr w:rsidR="00CD6BB4" w:rsidRPr="00074369" w14:paraId="623C9BE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2B7BAE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DPROM</w:t>
            </w:r>
          </w:p>
        </w:tc>
        <w:tc>
          <w:tcPr>
            <w:tcW w:w="0" w:type="auto"/>
            <w:hideMark/>
          </w:tcPr>
          <w:p w14:paraId="6D8950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-0.264 (0.188)</w:t>
            </w:r>
          </w:p>
        </w:tc>
        <w:tc>
          <w:tcPr>
            <w:tcW w:w="0" w:type="auto"/>
            <w:hideMark/>
          </w:tcPr>
          <w:p w14:paraId="47EC087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-0.175 (0.196)</w:t>
            </w:r>
          </w:p>
        </w:tc>
        <w:tc>
          <w:tcPr>
            <w:tcW w:w="0" w:type="auto"/>
            <w:hideMark/>
          </w:tcPr>
          <w:p w14:paraId="450D2C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-0.124 (0.182)</w:t>
            </w:r>
          </w:p>
        </w:tc>
        <w:tc>
          <w:tcPr>
            <w:tcW w:w="0" w:type="auto"/>
            <w:hideMark/>
          </w:tcPr>
          <w:p w14:paraId="256657A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-0.020 (0.191)</w:t>
            </w:r>
          </w:p>
        </w:tc>
      </w:tr>
      <w:tr w:rsidR="00CD6BB4" w:rsidRPr="00074369" w14:paraId="50D7EB0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367D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DMIN</w:t>
            </w:r>
          </w:p>
        </w:tc>
        <w:tc>
          <w:tcPr>
            <w:tcW w:w="0" w:type="auto"/>
            <w:hideMark/>
          </w:tcPr>
          <w:p w14:paraId="2785363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0.161</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3C7D5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 (0.081)</w:t>
            </w:r>
          </w:p>
        </w:tc>
        <w:tc>
          <w:tcPr>
            <w:tcW w:w="0" w:type="auto"/>
            <w:hideMark/>
          </w:tcPr>
          <w:p w14:paraId="2FA90CC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0.029 (0.075)</w:t>
            </w:r>
          </w:p>
        </w:tc>
        <w:tc>
          <w:tcPr>
            <w:tcW w:w="0" w:type="auto"/>
            <w:hideMark/>
          </w:tcPr>
          <w:p w14:paraId="035AE38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 (0.079)</w:t>
            </w:r>
          </w:p>
        </w:tc>
      </w:tr>
      <w:tr w:rsidR="00CD6BB4" w:rsidRPr="00074369" w14:paraId="0FE295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660CA89"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NCERC</w:t>
            </w:r>
          </w:p>
        </w:tc>
        <w:tc>
          <w:tcPr>
            <w:tcW w:w="0" w:type="auto"/>
            <w:hideMark/>
          </w:tcPr>
          <w:p w14:paraId="4A468C7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-0.033</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0F87688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(0.005)</w:t>
            </w:r>
          </w:p>
        </w:tc>
        <w:tc>
          <w:tcPr>
            <w:tcW w:w="0" w:type="auto"/>
            <w:hideMark/>
          </w:tcPr>
          <w:p w14:paraId="58C1DED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-0.028</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208E58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r>
      <w:tr w:rsidR="00CD6BB4" w:rsidRPr="00074369" w14:paraId="2A7E512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28D41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MECANICO</w:t>
            </w:r>
          </w:p>
        </w:tc>
        <w:tc>
          <w:tcPr>
            <w:tcW w:w="0" w:type="auto"/>
            <w:hideMark/>
          </w:tcPr>
          <w:p w14:paraId="000E70C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0.120</w:t>
            </w:r>
            <w:r w:rsidRPr="00074369">
              <w:rPr>
                <w:rFonts w:asciiTheme="minorHAnsi" w:hAnsiTheme="minorHAnsi" w:cstheme="minorHAnsi"/>
                <w:szCs w:val="20"/>
                <w:vertAlign w:val="superscript"/>
              </w:rPr>
              <w:t>*</w:t>
            </w:r>
            <w:r w:rsidRPr="00074369">
              <w:rPr>
                <w:rFonts w:asciiTheme="minorHAnsi" w:hAnsiTheme="minorHAnsi" w:cstheme="minorHAnsi"/>
                <w:szCs w:val="20"/>
              </w:rPr>
              <w:t> (0.072)</w:t>
            </w:r>
          </w:p>
        </w:tc>
        <w:tc>
          <w:tcPr>
            <w:tcW w:w="0" w:type="auto"/>
            <w:hideMark/>
          </w:tcPr>
          <w:p w14:paraId="450A35C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0.160</w:t>
            </w:r>
            <w:r w:rsidRPr="00074369">
              <w:rPr>
                <w:rFonts w:asciiTheme="minorHAnsi" w:hAnsiTheme="minorHAnsi" w:cstheme="minorHAnsi"/>
                <w:szCs w:val="20"/>
                <w:vertAlign w:val="superscript"/>
              </w:rPr>
              <w:t>**</w:t>
            </w:r>
            <w:r w:rsidRPr="00074369">
              <w:rPr>
                <w:rFonts w:asciiTheme="minorHAnsi" w:hAnsiTheme="minorHAnsi" w:cstheme="minorHAnsi"/>
                <w:szCs w:val="20"/>
              </w:rPr>
              <w:t> (0.075)</w:t>
            </w:r>
          </w:p>
        </w:tc>
        <w:tc>
          <w:tcPr>
            <w:tcW w:w="0" w:type="auto"/>
            <w:hideMark/>
          </w:tcPr>
          <w:p w14:paraId="33BED55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(0.069)</w:t>
            </w:r>
          </w:p>
        </w:tc>
        <w:tc>
          <w:tcPr>
            <w:tcW w:w="0" w:type="auto"/>
            <w:hideMark/>
          </w:tcPr>
          <w:p w14:paraId="3B0AD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 (0.073)</w:t>
            </w:r>
          </w:p>
        </w:tc>
      </w:tr>
      <w:tr w:rsidR="00CD6BB4" w:rsidRPr="00074369" w14:paraId="50C4E50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FD0E5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LAVADO</w:t>
            </w:r>
          </w:p>
        </w:tc>
        <w:tc>
          <w:tcPr>
            <w:tcW w:w="0" w:type="auto"/>
            <w:hideMark/>
          </w:tcPr>
          <w:p w14:paraId="691B845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-0.151</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5FB0863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-0.129 (0.088)</w:t>
            </w:r>
          </w:p>
        </w:tc>
        <w:tc>
          <w:tcPr>
            <w:tcW w:w="0" w:type="auto"/>
            <w:hideMark/>
          </w:tcPr>
          <w:p w14:paraId="121A0E4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-0.108 (0.081)</w:t>
            </w:r>
          </w:p>
        </w:tc>
        <w:tc>
          <w:tcPr>
            <w:tcW w:w="0" w:type="auto"/>
            <w:hideMark/>
          </w:tcPr>
          <w:p w14:paraId="0CA27D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(0.085)</w:t>
            </w:r>
          </w:p>
        </w:tc>
      </w:tr>
      <w:tr w:rsidR="00CD6BB4" w:rsidRPr="00074369" w14:paraId="4A1363FF"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C931CC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CAJERO</w:t>
            </w:r>
          </w:p>
        </w:tc>
        <w:tc>
          <w:tcPr>
            <w:tcW w:w="0" w:type="auto"/>
            <w:hideMark/>
          </w:tcPr>
          <w:p w14:paraId="22C3D2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0.058 (0.060)</w:t>
            </w:r>
          </w:p>
        </w:tc>
        <w:tc>
          <w:tcPr>
            <w:tcW w:w="0" w:type="auto"/>
            <w:hideMark/>
          </w:tcPr>
          <w:p w14:paraId="4D810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0.036 (0.062)</w:t>
            </w:r>
          </w:p>
        </w:tc>
        <w:tc>
          <w:tcPr>
            <w:tcW w:w="0" w:type="auto"/>
            <w:hideMark/>
          </w:tcPr>
          <w:p w14:paraId="6A8DCF1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0.048 (0.057)</w:t>
            </w:r>
          </w:p>
        </w:tc>
        <w:tc>
          <w:tcPr>
            <w:tcW w:w="0" w:type="auto"/>
            <w:hideMark/>
          </w:tcPr>
          <w:p w14:paraId="5D4F664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0.039 (0.060)</w:t>
            </w:r>
          </w:p>
        </w:tc>
      </w:tr>
      <w:tr w:rsidR="00CD6BB4" w:rsidRPr="00074369" w14:paraId="167DF91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4EFFBEF"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GNV</w:t>
            </w:r>
          </w:p>
        </w:tc>
        <w:tc>
          <w:tcPr>
            <w:tcW w:w="0" w:type="auto"/>
            <w:hideMark/>
          </w:tcPr>
          <w:p w14:paraId="65A0F8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-0.146</w:t>
            </w:r>
            <w:r w:rsidRPr="00074369">
              <w:rPr>
                <w:rFonts w:asciiTheme="minorHAnsi" w:hAnsiTheme="minorHAnsi" w:cstheme="minorHAnsi"/>
                <w:szCs w:val="20"/>
                <w:vertAlign w:val="superscript"/>
              </w:rPr>
              <w:t>**</w:t>
            </w:r>
            <w:r w:rsidRPr="00074369">
              <w:rPr>
                <w:rFonts w:asciiTheme="minorHAnsi" w:hAnsiTheme="minorHAnsi" w:cstheme="minorHAnsi"/>
                <w:szCs w:val="20"/>
              </w:rPr>
              <w:t> (0.061)</w:t>
            </w:r>
          </w:p>
        </w:tc>
        <w:tc>
          <w:tcPr>
            <w:tcW w:w="0" w:type="auto"/>
            <w:hideMark/>
          </w:tcPr>
          <w:p w14:paraId="6B79CA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-0.055 (0.064)</w:t>
            </w:r>
          </w:p>
        </w:tc>
        <w:tc>
          <w:tcPr>
            <w:tcW w:w="0" w:type="auto"/>
            <w:hideMark/>
          </w:tcPr>
          <w:p w14:paraId="3A5A71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-0.087 (0.059)</w:t>
            </w:r>
          </w:p>
        </w:tc>
        <w:tc>
          <w:tcPr>
            <w:tcW w:w="0" w:type="auto"/>
            <w:hideMark/>
          </w:tcPr>
          <w:p w14:paraId="3ACAF0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-0.005 (0.062)</w:t>
            </w:r>
          </w:p>
        </w:tc>
      </w:tr>
      <w:tr w:rsidR="00CD6BB4" w:rsidRPr="00074369" w14:paraId="6DEC44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9CA1F2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GLP</w:t>
            </w:r>
          </w:p>
        </w:tc>
        <w:tc>
          <w:tcPr>
            <w:tcW w:w="0" w:type="auto"/>
            <w:hideMark/>
          </w:tcPr>
          <w:p w14:paraId="5A1A0AA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0.046 (0.060)</w:t>
            </w:r>
          </w:p>
        </w:tc>
        <w:tc>
          <w:tcPr>
            <w:tcW w:w="0" w:type="auto"/>
            <w:hideMark/>
          </w:tcPr>
          <w:p w14:paraId="3417DA0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 (0.062)</w:t>
            </w:r>
          </w:p>
        </w:tc>
        <w:tc>
          <w:tcPr>
            <w:tcW w:w="0" w:type="auto"/>
            <w:hideMark/>
          </w:tcPr>
          <w:p w14:paraId="1213EF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(0.058)</w:t>
            </w:r>
          </w:p>
        </w:tc>
        <w:tc>
          <w:tcPr>
            <w:tcW w:w="0" w:type="auto"/>
            <w:hideMark/>
          </w:tcPr>
          <w:p w14:paraId="21E51F3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-0.052 (0.061)</w:t>
            </w:r>
          </w:p>
        </w:tc>
      </w:tr>
      <w:tr w:rsidR="00CD6BB4" w:rsidRPr="00074369" w14:paraId="23A200C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C1EC7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INGRESO</w:t>
            </w:r>
          </w:p>
        </w:tc>
        <w:tc>
          <w:tcPr>
            <w:tcW w:w="0" w:type="auto"/>
            <w:hideMark/>
          </w:tcPr>
          <w:p w14:paraId="63E4822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0.247 (0.192)</w:t>
            </w:r>
          </w:p>
        </w:tc>
        <w:tc>
          <w:tcPr>
            <w:tcW w:w="0" w:type="auto"/>
            <w:hideMark/>
          </w:tcPr>
          <w:p w14:paraId="5061FB3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(0.200)</w:t>
            </w:r>
          </w:p>
        </w:tc>
        <w:tc>
          <w:tcPr>
            <w:tcW w:w="0" w:type="auto"/>
            <w:hideMark/>
          </w:tcPr>
          <w:p w14:paraId="59EF602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-0.015 (0.189)</w:t>
            </w:r>
          </w:p>
        </w:tc>
        <w:tc>
          <w:tcPr>
            <w:tcW w:w="0" w:type="auto"/>
            <w:hideMark/>
          </w:tcPr>
          <w:p w14:paraId="4F484C4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0.556</w:t>
            </w:r>
            <w:r w:rsidRPr="00074369">
              <w:rPr>
                <w:rFonts w:asciiTheme="minorHAnsi" w:hAnsiTheme="minorHAnsi" w:cstheme="minorHAnsi"/>
                <w:szCs w:val="20"/>
                <w:vertAlign w:val="superscript"/>
              </w:rPr>
              <w:t>***</w:t>
            </w:r>
            <w:r w:rsidRPr="00074369">
              <w:rPr>
                <w:rFonts w:asciiTheme="minorHAnsi" w:hAnsiTheme="minorHAnsi" w:cstheme="minorHAnsi"/>
                <w:szCs w:val="20"/>
              </w:rPr>
              <w:t> (0.199)</w:t>
            </w:r>
          </w:p>
        </w:tc>
      </w:tr>
      <w:tr w:rsidR="00CD6BB4" w:rsidRPr="00074369" w14:paraId="18F0E62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905923D"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DENPOB</w:t>
            </w:r>
          </w:p>
        </w:tc>
        <w:tc>
          <w:tcPr>
            <w:tcW w:w="0" w:type="auto"/>
            <w:hideMark/>
          </w:tcPr>
          <w:p w14:paraId="05C7F8D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-0.089</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c>
          <w:tcPr>
            <w:tcW w:w="0" w:type="auto"/>
            <w:hideMark/>
          </w:tcPr>
          <w:p w14:paraId="63A313C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(0.053)</w:t>
            </w:r>
          </w:p>
        </w:tc>
        <w:tc>
          <w:tcPr>
            <w:tcW w:w="0" w:type="auto"/>
            <w:hideMark/>
          </w:tcPr>
          <w:p w14:paraId="023B46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-0.083</w:t>
            </w:r>
            <w:r w:rsidRPr="00074369">
              <w:rPr>
                <w:rFonts w:asciiTheme="minorHAnsi" w:hAnsiTheme="minorHAnsi" w:cstheme="minorHAnsi"/>
                <w:szCs w:val="20"/>
                <w:vertAlign w:val="superscript"/>
              </w:rPr>
              <w:t>*</w:t>
            </w:r>
            <w:r w:rsidRPr="00074369">
              <w:rPr>
                <w:rFonts w:asciiTheme="minorHAnsi" w:hAnsiTheme="minorHAnsi" w:cstheme="minorHAnsi"/>
                <w:szCs w:val="20"/>
              </w:rPr>
              <w:t> (0.049)</w:t>
            </w:r>
          </w:p>
        </w:tc>
        <w:tc>
          <w:tcPr>
            <w:tcW w:w="0" w:type="auto"/>
            <w:hideMark/>
          </w:tcPr>
          <w:p w14:paraId="371E1AA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-0.132</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r>
      <w:tr w:rsidR="00CD6BB4" w:rsidRPr="00074369" w14:paraId="45FD344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CBAA8E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LOGVIAJES</w:t>
            </w:r>
          </w:p>
        </w:tc>
        <w:tc>
          <w:tcPr>
            <w:tcW w:w="0" w:type="auto"/>
            <w:hideMark/>
          </w:tcPr>
          <w:p w14:paraId="4FEEA95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 (0.051)</w:t>
            </w:r>
          </w:p>
        </w:tc>
        <w:tc>
          <w:tcPr>
            <w:tcW w:w="0" w:type="auto"/>
            <w:hideMark/>
          </w:tcPr>
          <w:p w14:paraId="11E35F8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(0.053)</w:t>
            </w:r>
          </w:p>
        </w:tc>
        <w:tc>
          <w:tcPr>
            <w:tcW w:w="0" w:type="auto"/>
            <w:hideMark/>
          </w:tcPr>
          <w:p w14:paraId="5AD467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0.011 (0.049)</w:t>
            </w:r>
          </w:p>
        </w:tc>
        <w:tc>
          <w:tcPr>
            <w:tcW w:w="0" w:type="auto"/>
            <w:hideMark/>
          </w:tcPr>
          <w:p w14:paraId="2189FEB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(0.052)</w:t>
            </w:r>
          </w:p>
        </w:tc>
      </w:tr>
      <w:tr w:rsidR="00CD6BB4" w:rsidRPr="00074369" w14:paraId="207E3DB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1DCB6F6C"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4504778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612EA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0" w:type="auto"/>
            <w:hideMark/>
          </w:tcPr>
          <w:p w14:paraId="3ECC591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0" w:type="auto"/>
            <w:hideMark/>
          </w:tcPr>
          <w:p w14:paraId="4081FDD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0" w:type="auto"/>
            <w:hideMark/>
          </w:tcPr>
          <w:p w14:paraId="55F466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0" w:type="auto"/>
            <w:hideMark/>
          </w:tcPr>
          <w:p w14:paraId="1C174D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56897DB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76B061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0" w:type="auto"/>
            <w:hideMark/>
          </w:tcPr>
          <w:p w14:paraId="3FD628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0.363</w:t>
            </w:r>
          </w:p>
        </w:tc>
        <w:tc>
          <w:tcPr>
            <w:tcW w:w="0" w:type="auto"/>
            <w:hideMark/>
          </w:tcPr>
          <w:p w14:paraId="15D315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0.266</w:t>
            </w:r>
          </w:p>
        </w:tc>
        <w:tc>
          <w:tcPr>
            <w:tcW w:w="0" w:type="auto"/>
            <w:hideMark/>
          </w:tcPr>
          <w:p w14:paraId="5DE9482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0.245</w:t>
            </w:r>
          </w:p>
        </w:tc>
        <w:tc>
          <w:tcPr>
            <w:tcW w:w="0" w:type="auto"/>
            <w:hideMark/>
          </w:tcPr>
          <w:p w14:paraId="5981759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0.320</w:t>
            </w:r>
          </w:p>
        </w:tc>
      </w:tr>
      <w:tr w:rsidR="00CD6BB4" w:rsidRPr="00074369" w14:paraId="30D0889D"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A7EC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SEM</w:t>
            </w:r>
          </w:p>
        </w:tc>
        <w:tc>
          <w:tcPr>
            <w:tcW w:w="0" w:type="auto"/>
            <w:vAlign w:val="center"/>
            <w:hideMark/>
          </w:tcPr>
          <w:p w14:paraId="0C3A3DF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61.55 [0.0000]</w:t>
            </w:r>
          </w:p>
        </w:tc>
        <w:tc>
          <w:tcPr>
            <w:tcW w:w="0" w:type="auto"/>
            <w:vAlign w:val="center"/>
            <w:hideMark/>
          </w:tcPr>
          <w:p w14:paraId="3166C5E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102.89 [0.0000]</w:t>
            </w:r>
          </w:p>
        </w:tc>
        <w:tc>
          <w:tcPr>
            <w:tcW w:w="0" w:type="auto"/>
            <w:vAlign w:val="center"/>
            <w:hideMark/>
          </w:tcPr>
          <w:p w14:paraId="4EC20A3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40.19 [0.0000]</w:t>
            </w:r>
          </w:p>
        </w:tc>
        <w:tc>
          <w:tcPr>
            <w:tcW w:w="0" w:type="auto"/>
            <w:vAlign w:val="center"/>
            <w:hideMark/>
          </w:tcPr>
          <w:p w14:paraId="050F237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46.43 [0.0000]</w:t>
            </w:r>
          </w:p>
        </w:tc>
      </w:tr>
      <w:tr w:rsidR="00CD6BB4" w:rsidRPr="00074369" w14:paraId="46D3BE3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B15B69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SAR</w:t>
            </w:r>
          </w:p>
        </w:tc>
        <w:tc>
          <w:tcPr>
            <w:tcW w:w="0" w:type="auto"/>
            <w:vAlign w:val="center"/>
            <w:hideMark/>
          </w:tcPr>
          <w:p w14:paraId="1B0AAA9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78.10 [0.0000]</w:t>
            </w:r>
          </w:p>
        </w:tc>
        <w:tc>
          <w:tcPr>
            <w:tcW w:w="0" w:type="auto"/>
            <w:vAlign w:val="center"/>
            <w:hideMark/>
          </w:tcPr>
          <w:p w14:paraId="033FB76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118.62 [0.0000]</w:t>
            </w:r>
          </w:p>
        </w:tc>
        <w:tc>
          <w:tcPr>
            <w:tcW w:w="0" w:type="auto"/>
            <w:vAlign w:val="center"/>
            <w:hideMark/>
          </w:tcPr>
          <w:p w14:paraId="3E6CB6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59.48 [0.0000]</w:t>
            </w:r>
          </w:p>
        </w:tc>
        <w:tc>
          <w:tcPr>
            <w:tcW w:w="0" w:type="auto"/>
            <w:vAlign w:val="center"/>
            <w:hideMark/>
          </w:tcPr>
          <w:p w14:paraId="6BA227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64.26 [0.0000]</w:t>
            </w:r>
          </w:p>
        </w:tc>
      </w:tr>
      <w:tr w:rsidR="00CD6BB4" w:rsidRPr="00074369" w14:paraId="65D5ACA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434F8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SEM</w:t>
            </w:r>
          </w:p>
        </w:tc>
        <w:tc>
          <w:tcPr>
            <w:tcW w:w="0" w:type="auto"/>
            <w:vAlign w:val="center"/>
            <w:hideMark/>
          </w:tcPr>
          <w:p w14:paraId="3F39D2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2.29 [0.1302]</w:t>
            </w:r>
          </w:p>
        </w:tc>
        <w:tc>
          <w:tcPr>
            <w:tcW w:w="0" w:type="auto"/>
            <w:vAlign w:val="center"/>
            <w:hideMark/>
          </w:tcPr>
          <w:p w14:paraId="285AA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0.27 [0.6058]</w:t>
            </w:r>
          </w:p>
        </w:tc>
        <w:tc>
          <w:tcPr>
            <w:tcW w:w="0" w:type="auto"/>
            <w:vAlign w:val="center"/>
            <w:hideMark/>
          </w:tcPr>
          <w:p w14:paraId="39561C8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1.96 [0.1613]</w:t>
            </w:r>
          </w:p>
        </w:tc>
        <w:tc>
          <w:tcPr>
            <w:tcW w:w="0" w:type="auto"/>
            <w:vAlign w:val="center"/>
            <w:hideMark/>
          </w:tcPr>
          <w:p w14:paraId="37918CD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3.65 [0.0562]</w:t>
            </w:r>
          </w:p>
        </w:tc>
      </w:tr>
      <w:tr w:rsidR="00CD6BB4" w:rsidRPr="00074369" w14:paraId="2EF72DF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14CC573"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SAR</w:t>
            </w:r>
          </w:p>
        </w:tc>
        <w:tc>
          <w:tcPr>
            <w:tcW w:w="0" w:type="auto"/>
            <w:tcBorders>
              <w:bottom w:val="single" w:sz="12" w:space="0" w:color="auto"/>
            </w:tcBorders>
            <w:vAlign w:val="center"/>
            <w:hideMark/>
          </w:tcPr>
          <w:p w14:paraId="093FBD9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18.84 [0.0000]</w:t>
            </w:r>
          </w:p>
        </w:tc>
        <w:tc>
          <w:tcPr>
            <w:tcW w:w="0" w:type="auto"/>
            <w:tcBorders>
              <w:bottom w:val="single" w:sz="12" w:space="0" w:color="auto"/>
            </w:tcBorders>
            <w:vAlign w:val="center"/>
            <w:hideMark/>
          </w:tcPr>
          <w:p w14:paraId="6D5A45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15.99 [0.0001]</w:t>
            </w:r>
          </w:p>
        </w:tc>
        <w:tc>
          <w:tcPr>
            <w:tcW w:w="0" w:type="auto"/>
            <w:tcBorders>
              <w:bottom w:val="single" w:sz="12" w:space="0" w:color="auto"/>
            </w:tcBorders>
            <w:vAlign w:val="center"/>
            <w:hideMark/>
          </w:tcPr>
          <w:p w14:paraId="3B240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21.25 [0.0000]</w:t>
            </w:r>
          </w:p>
        </w:tc>
        <w:tc>
          <w:tcPr>
            <w:tcW w:w="0" w:type="auto"/>
            <w:tcBorders>
              <w:bottom w:val="single" w:sz="12" w:space="0" w:color="auto"/>
            </w:tcBorders>
            <w:vAlign w:val="center"/>
            <w:hideMark/>
          </w:tcPr>
          <w:p w14:paraId="6F551AE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21.48 [0.0000]</w:t>
            </w:r>
          </w:p>
        </w:tc>
      </w:tr>
      <w:tr w:rsidR="00CD6BB4" w:rsidRPr="00074369" w14:paraId="5C68DCD5"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5BAB79B4"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5842648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3DECCD8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Nota:</w:t>
            </w:r>
          </w:p>
        </w:tc>
        <w:tc>
          <w:tcPr>
            <w:tcW w:w="0" w:type="auto"/>
            <w:gridSpan w:val="4"/>
            <w:hideMark/>
          </w:tcPr>
          <w:p w14:paraId="40961221" w14:textId="77777777" w:rsidR="00CD6BB4" w:rsidRPr="00074369" w:rsidRDefault="00CD6BB4" w:rsidP="007C15C8">
            <w:pPr>
              <w:spacing w:after="0" w:line="240" w:lineRule="auto"/>
              <w:jc w:val="right"/>
              <w:rPr>
                <w:rFonts w:asciiTheme="minorHAnsi" w:hAnsiTheme="minorHAnsi"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tc>
      </w:tr>
    </w:tbl>
    <w:p w14:paraId="0616DE58" w14:textId="77FF303E" w:rsidR="00CD6BB4" w:rsidRDefault="00CD6BB4" w:rsidP="00CD6BB4">
      <w:pPr>
        <w:pStyle w:val="Fuente"/>
      </w:pPr>
      <w:r w:rsidRPr="00074369">
        <w:t>Fuente: Elaboración propia, 2019</w:t>
      </w:r>
    </w:p>
    <w:p w14:paraId="19C24B86" w14:textId="1865FAF8" w:rsidR="009F2EBC" w:rsidRPr="00074369" w:rsidRDefault="009F2EBC" w:rsidP="009F2EBC">
      <w:r w:rsidRPr="00074369">
        <w:t xml:space="preserve">En las tablas </w:t>
      </w:r>
      <w:r w:rsidRPr="00074369">
        <w:fldChar w:fldCharType="begin"/>
      </w:r>
      <w:r w:rsidRPr="00074369">
        <w:instrText xml:space="preserve"> REF _Ref9168200 \# 0 \h </w:instrText>
      </w:r>
      <w:r w:rsidRPr="00074369">
        <w:fldChar w:fldCharType="separate"/>
      </w:r>
      <w:r w:rsidR="004C0429">
        <w:t>14</w:t>
      </w:r>
      <w:r w:rsidRPr="00074369">
        <w:fldChar w:fldCharType="end"/>
      </w:r>
      <w:r w:rsidRPr="00074369">
        <w:t xml:space="preserve"> y </w:t>
      </w:r>
      <w:r w:rsidRPr="00074369">
        <w:fldChar w:fldCharType="begin"/>
      </w:r>
      <w:r w:rsidRPr="00074369">
        <w:instrText xml:space="preserve"> REF _Ref9168201 \# 0 \h </w:instrText>
      </w:r>
      <w:r w:rsidRPr="00074369">
        <w:fldChar w:fldCharType="separate"/>
      </w:r>
      <w:r w:rsidR="004C0429">
        <w:t>15</w:t>
      </w:r>
      <w:r w:rsidRPr="00074369">
        <w:fldChar w:fldCharType="end"/>
      </w:r>
      <w:r w:rsidRPr="00074369">
        <w:t xml:space="preserve"> muestr</w:t>
      </w:r>
      <w:r w:rsidR="007F54E5">
        <w:t>an</w:t>
      </w:r>
      <w:r w:rsidRPr="00074369">
        <w:t xml:space="preserve"> los resultados de las estimaciones para el corte transversal de marzo de 2018. Los coeficientes que se reportan no pueden ser comparados directamente con los obtenidos en el modelo lineal. Utilizando las definiciones de </w:t>
      </w:r>
      <w:proofErr w:type="spellStart"/>
      <w:r w:rsidRPr="00074369">
        <w:t>Lesage</w:t>
      </w:r>
      <w:proofErr w:type="spellEnd"/>
      <w:r w:rsidRPr="00074369">
        <w:t xml:space="preserve"> y Pace </w:t>
      </w:r>
      <w:r w:rsidRPr="00074369">
        <w:fldChar w:fldCharType="begin"/>
      </w:r>
      <w:r w:rsidR="006F6D84">
        <w:instrText xml:space="preserve"> ADDIN ZOTERO_ITEM CSL_CITATION {"citationID":"1XggujoX","properties":{"formattedCitation":"(2009)","plainCitation":"(2009)","noteIndex":0},"citationItems":[{"id":664,"uris":["http://zotero.org/groups/2269288/items/TENS87NW"],"uri":["http://zotero.org/groups/2269288/items/TENS87NW"],"itemData":{"id":664,"type":"book","note":"Citation Key: lesageIntroductionSpatialEconometrics2009","publisher":"Chapman and Hall/CRC","source":"Google Scholar","title":"Introduction to spatial econometrics","author":[{"family":"LeSage","given":"James"},{"family":"Pace","given":"Robert Kelley"}],"issued":{"date-parts":[["2009"]]}},"suppress-author":true}],"schema":"https://github.com/citation-style-language/schema/raw/master/csl-citation.json"} </w:instrText>
      </w:r>
      <w:r w:rsidRPr="00074369">
        <w:fldChar w:fldCharType="separate"/>
      </w:r>
      <w:r w:rsidR="00355C59" w:rsidRPr="00355C59">
        <w:rPr>
          <w:rFonts w:ascii="Times New Roman" w:hAnsi="Times New Roman"/>
        </w:rPr>
        <w:t>(2009)</w:t>
      </w:r>
      <w:r w:rsidRPr="00074369">
        <w:fldChar w:fldCharType="end"/>
      </w:r>
      <w:r w:rsidRPr="00074369">
        <w:t>, se calculan los efectos directos, indirectos y totales asociados a cada regresor. De esta manera, se puede obtener una comparación entre los efectos directos de los modelos SAR y SDM y el obtenido por el modelo lineal sin dependencia espacial.</w:t>
      </w:r>
    </w:p>
    <w:p w14:paraId="7310C85F" w14:textId="5A0450A3" w:rsidR="00CD6BB4" w:rsidRPr="00074369" w:rsidRDefault="00CD6BB4" w:rsidP="00CD6BB4">
      <w:pPr>
        <w:pStyle w:val="Descripcin"/>
      </w:pPr>
      <w:bookmarkStart w:id="214" w:name="_Ref9167495"/>
      <w:bookmarkStart w:id="215" w:name="_Toc9171802"/>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13</w:t>
      </w:r>
      <w:r w:rsidRPr="00074369">
        <w:fldChar w:fldCharType="end"/>
      </w:r>
      <w:bookmarkEnd w:id="214"/>
      <w:r w:rsidRPr="00074369">
        <w:t>: Pruebas de LR para simplificar el modelo espacial de Durbin</w:t>
      </w:r>
      <w:bookmarkEnd w:id="215"/>
    </w:p>
    <w:tbl>
      <w:tblPr>
        <w:tblStyle w:val="tesis"/>
        <w:tblW w:w="0" w:type="auto"/>
        <w:tblLook w:val="04A0" w:firstRow="1" w:lastRow="0" w:firstColumn="1" w:lastColumn="0" w:noHBand="0" w:noVBand="1"/>
      </w:tblPr>
      <w:tblGrid>
        <w:gridCol w:w="2719"/>
        <w:gridCol w:w="1446"/>
        <w:gridCol w:w="1446"/>
        <w:gridCol w:w="1446"/>
        <w:gridCol w:w="1446"/>
      </w:tblGrid>
      <w:tr w:rsidR="00CD6BB4" w:rsidRPr="00074369" w14:paraId="677B0A84"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E3C877" w14:textId="77777777" w:rsidR="00CD6BB4" w:rsidRPr="00074369" w:rsidRDefault="00CD6BB4" w:rsidP="007C15C8">
            <w:pPr>
              <w:spacing w:after="0" w:line="240" w:lineRule="auto"/>
              <w:rPr>
                <w:rFonts w:asciiTheme="minorHAnsi" w:hAnsiTheme="minorHAnsi" w:cstheme="minorHAnsi"/>
                <w:szCs w:val="20"/>
              </w:rPr>
            </w:pPr>
          </w:p>
        </w:tc>
        <w:tc>
          <w:tcPr>
            <w:tcW w:w="0" w:type="auto"/>
            <w:gridSpan w:val="4"/>
            <w:hideMark/>
          </w:tcPr>
          <w:p w14:paraId="6E8E63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Estadístico [valor p]</w:t>
            </w:r>
          </w:p>
        </w:tc>
      </w:tr>
      <w:tr w:rsidR="00CD6BB4" w:rsidRPr="00074369" w14:paraId="44AD19C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764F62A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Hipótesis Nula</w:t>
            </w:r>
          </w:p>
        </w:tc>
        <w:tc>
          <w:tcPr>
            <w:tcW w:w="0" w:type="auto"/>
            <w:tcBorders>
              <w:bottom w:val="single" w:sz="4" w:space="0" w:color="auto"/>
            </w:tcBorders>
            <w:hideMark/>
          </w:tcPr>
          <w:p w14:paraId="5E88DF2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4" w:space="0" w:color="auto"/>
            </w:tcBorders>
            <w:hideMark/>
          </w:tcPr>
          <w:p w14:paraId="43E51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4" w:space="0" w:color="auto"/>
            </w:tcBorders>
            <w:hideMark/>
          </w:tcPr>
          <w:p w14:paraId="45D7F9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c>
          <w:tcPr>
            <w:tcW w:w="0" w:type="auto"/>
            <w:tcBorders>
              <w:bottom w:val="single" w:sz="4" w:space="0" w:color="auto"/>
            </w:tcBorders>
            <w:hideMark/>
          </w:tcPr>
          <w:p w14:paraId="0998C43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r>
      <w:tr w:rsidR="00CD6BB4" w:rsidRPr="00074369" w14:paraId="4AE33430"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tcBorders>
              <w:top w:val="single" w:sz="4" w:space="0" w:color="auto"/>
            </w:tcBorders>
            <w:vAlign w:val="center"/>
            <w:hideMark/>
          </w:tcPr>
          <w:p w14:paraId="3FC38572"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Diésel</w:t>
            </w:r>
          </w:p>
        </w:tc>
      </w:tr>
      <w:tr w:rsidR="00CD6BB4" w:rsidRPr="00074369" w14:paraId="65F145B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956041C" w14:textId="032123FF" w:rsidR="00CD6BB4" w:rsidRPr="00074369" w:rsidRDefault="00F256B3" w:rsidP="007C15C8">
            <w:pPr>
              <w:spacing w:after="0" w:line="240" w:lineRule="auto"/>
              <w:rPr>
                <w:rFonts w:asciiTheme="minorHAnsi" w:hAnsiTheme="minorHAnsi" w:cstheme="minorHAnsi"/>
                <w:szCs w:val="20"/>
              </w:rPr>
            </w:pPr>
            <m:oMath>
              <m:r>
                <w:rPr>
                  <w:rFonts w:ascii="Cambria Math" w:hAnsi="Cambria Math" w:cstheme="minorHAnsi"/>
                  <w:color w:val="333333"/>
                  <w:szCs w:val="20"/>
                </w:rPr>
                <m:t>H_0</m:t>
              </m:r>
              <m:r>
                <w:rPr>
                  <w:rFonts w:ascii="Cambria Math" w:hAnsi="Cambria Math" w:cstheme="minorHAnsi"/>
                  <w:color w:val="333333"/>
                  <w:szCs w:val="20"/>
                </w:rPr>
                <m:t xml:space="preserve">: </m:t>
              </m:r>
              <m:r>
                <w:rPr>
                  <w:rFonts w:ascii="Cambria Math" w:hAnsi="Cambria Math" w:cstheme="minorHAnsi"/>
                  <w:color w:val="333333"/>
                  <w:szCs w:val="20"/>
                </w:rPr>
                <m:t>θ_t</m:t>
              </m:r>
              <m:r>
                <w:rPr>
                  <w:rFonts w:ascii="Cambria Math" w:hAnsi="Cambria Math" w:cstheme="minorHAnsi"/>
                  <w:color w:val="333333"/>
                  <w:szCs w:val="20"/>
                </w:rPr>
                <m:t>+ρ</m:t>
              </m:r>
              <m:r>
                <w:rPr>
                  <w:rFonts w:ascii="Cambria Math" w:hAnsi="Cambria Math" w:cstheme="minorHAnsi"/>
                  <w:color w:val="333333"/>
                  <w:szCs w:val="20"/>
                </w:rPr>
                <m:t>β_t</m:t>
              </m:r>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43E8648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39.3 [0.0040]</w:t>
            </w:r>
          </w:p>
        </w:tc>
        <w:tc>
          <w:tcPr>
            <w:tcW w:w="0" w:type="auto"/>
            <w:hideMark/>
          </w:tcPr>
          <w:p w14:paraId="4564D43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27.1 [0.1030]</w:t>
            </w:r>
          </w:p>
        </w:tc>
        <w:tc>
          <w:tcPr>
            <w:tcW w:w="0" w:type="auto"/>
            <w:hideMark/>
          </w:tcPr>
          <w:p w14:paraId="482E785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35.5 [0.0120]</w:t>
            </w:r>
          </w:p>
        </w:tc>
        <w:tc>
          <w:tcPr>
            <w:tcW w:w="0" w:type="auto"/>
            <w:hideMark/>
          </w:tcPr>
          <w:p w14:paraId="39CC193F"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29.0 [0.0660]</w:t>
            </w:r>
          </w:p>
        </w:tc>
      </w:tr>
      <w:tr w:rsidR="00CD6BB4" w:rsidRPr="00074369" w14:paraId="6346AC3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40CC11E" w14:textId="5F21D402" w:rsidR="00CD6BB4" w:rsidRPr="00074369" w:rsidRDefault="00F256B3" w:rsidP="007C15C8">
            <w:pPr>
              <w:spacing w:after="0" w:line="240" w:lineRule="auto"/>
              <w:rPr>
                <w:rFonts w:asciiTheme="minorHAnsi" w:hAnsiTheme="minorHAnsi" w:cstheme="minorHAnsi"/>
                <w:szCs w:val="20"/>
              </w:rPr>
            </w:pPr>
            <m:oMath>
              <m:r>
                <w:rPr>
                  <w:rFonts w:ascii="Cambria Math" w:hAnsi="Cambria Math" w:cstheme="minorHAnsi"/>
                  <w:color w:val="333333"/>
                  <w:szCs w:val="20"/>
                </w:rPr>
                <m:t>H_0</m:t>
              </m:r>
              <m:r>
                <w:rPr>
                  <w:rFonts w:ascii="Cambria Math" w:hAnsi="Cambria Math" w:cstheme="minorHAnsi"/>
                  <w:color w:val="333333"/>
                  <w:szCs w:val="20"/>
                </w:rPr>
                <m:t xml:space="preserve">: </m:t>
              </m:r>
              <m:r>
                <w:rPr>
                  <w:rFonts w:ascii="Cambria Math" w:hAnsi="Cambria Math" w:cstheme="minorHAnsi"/>
                  <w:color w:val="333333"/>
                  <w:szCs w:val="20"/>
                </w:rPr>
                <m:t>θ_t</m:t>
              </m:r>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hideMark/>
          </w:tcPr>
          <w:p w14:paraId="28597FD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22.3 [0.2680]</w:t>
            </w:r>
          </w:p>
        </w:tc>
        <w:tc>
          <w:tcPr>
            <w:tcW w:w="0" w:type="auto"/>
            <w:hideMark/>
          </w:tcPr>
          <w:p w14:paraId="0C8AB407"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14.9 [0.7260]</w:t>
            </w:r>
          </w:p>
        </w:tc>
        <w:tc>
          <w:tcPr>
            <w:tcW w:w="0" w:type="auto"/>
            <w:hideMark/>
          </w:tcPr>
          <w:p w14:paraId="40291E4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21.3 [0.3200]</w:t>
            </w:r>
          </w:p>
        </w:tc>
        <w:tc>
          <w:tcPr>
            <w:tcW w:w="0" w:type="auto"/>
            <w:hideMark/>
          </w:tcPr>
          <w:p w14:paraId="047A4F7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12.9 [0.8450]</w:t>
            </w:r>
          </w:p>
        </w:tc>
      </w:tr>
      <w:tr w:rsidR="00CD6BB4" w:rsidRPr="00074369" w14:paraId="0C27F25F"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vAlign w:val="center"/>
            <w:hideMark/>
          </w:tcPr>
          <w:p w14:paraId="2949B816" w14:textId="77777777" w:rsidR="00CD6BB4" w:rsidRPr="00074369" w:rsidRDefault="00CD6BB4" w:rsidP="00EB1460">
            <w:pPr>
              <w:spacing w:after="0" w:line="240" w:lineRule="auto"/>
              <w:jc w:val="left"/>
              <w:rPr>
                <w:rFonts w:asciiTheme="minorHAnsi" w:hAnsiTheme="minorHAnsi" w:cstheme="minorHAnsi"/>
                <w:szCs w:val="20"/>
              </w:rPr>
            </w:pPr>
            <w:proofErr w:type="spellStart"/>
            <w:r w:rsidRPr="00074369">
              <w:rPr>
                <w:rFonts w:asciiTheme="minorHAnsi" w:hAnsiTheme="minorHAnsi" w:cstheme="minorHAnsi"/>
                <w:szCs w:val="20"/>
              </w:rPr>
              <w:t>Gasohol</w:t>
            </w:r>
            <w:proofErr w:type="spellEnd"/>
            <w:r w:rsidRPr="00074369">
              <w:rPr>
                <w:rFonts w:asciiTheme="minorHAnsi" w:hAnsiTheme="minorHAnsi" w:cstheme="minorHAnsi"/>
                <w:szCs w:val="20"/>
              </w:rPr>
              <w:t xml:space="preserve"> 90</w:t>
            </w:r>
          </w:p>
        </w:tc>
      </w:tr>
      <w:tr w:rsidR="00CD6BB4" w:rsidRPr="00074369" w14:paraId="663A0A6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89D9D6" w14:textId="54E8C29A" w:rsidR="00CD6BB4" w:rsidRPr="00074369" w:rsidRDefault="00F256B3" w:rsidP="007C15C8">
            <w:pPr>
              <w:spacing w:after="0" w:line="240" w:lineRule="auto"/>
              <w:rPr>
                <w:rFonts w:asciiTheme="minorHAnsi" w:hAnsiTheme="minorHAnsi" w:cstheme="minorHAnsi"/>
                <w:szCs w:val="20"/>
              </w:rPr>
            </w:pPr>
            <m:oMath>
              <m:r>
                <w:rPr>
                  <w:rFonts w:ascii="Cambria Math" w:hAnsi="Cambria Math" w:cstheme="minorHAnsi"/>
                  <w:color w:val="333333"/>
                  <w:szCs w:val="20"/>
                </w:rPr>
                <m:t>H_0</m:t>
              </m:r>
              <m:r>
                <w:rPr>
                  <w:rFonts w:ascii="Cambria Math" w:hAnsi="Cambria Math" w:cstheme="minorHAnsi"/>
                  <w:color w:val="333333"/>
                  <w:szCs w:val="20"/>
                </w:rPr>
                <m:t xml:space="preserve">: </m:t>
              </m:r>
              <m:r>
                <w:rPr>
                  <w:rFonts w:ascii="Cambria Math" w:hAnsi="Cambria Math" w:cstheme="minorHAnsi"/>
                  <w:color w:val="333333"/>
                  <w:szCs w:val="20"/>
                </w:rPr>
                <m:t>θ_t</m:t>
              </m:r>
              <m:r>
                <w:rPr>
                  <w:rFonts w:ascii="Cambria Math" w:hAnsi="Cambria Math" w:cstheme="minorHAnsi"/>
                  <w:color w:val="333333"/>
                  <w:szCs w:val="20"/>
                </w:rPr>
                <m:t>+ρ</m:t>
              </m:r>
              <m:r>
                <w:rPr>
                  <w:rFonts w:ascii="Cambria Math" w:hAnsi="Cambria Math" w:cstheme="minorHAnsi"/>
                  <w:color w:val="333333"/>
                  <w:szCs w:val="20"/>
                </w:rPr>
                <m:t>β_t</m:t>
              </m:r>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0A76D0D8"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36.9 [0.0080]</w:t>
            </w:r>
          </w:p>
        </w:tc>
        <w:tc>
          <w:tcPr>
            <w:tcW w:w="0" w:type="auto"/>
            <w:hideMark/>
          </w:tcPr>
          <w:p w14:paraId="0B36A9BE"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40.9 [0.0020]</w:t>
            </w:r>
          </w:p>
        </w:tc>
        <w:tc>
          <w:tcPr>
            <w:tcW w:w="0" w:type="auto"/>
            <w:hideMark/>
          </w:tcPr>
          <w:p w14:paraId="4B1A852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34.2 [0.0180]</w:t>
            </w:r>
          </w:p>
        </w:tc>
        <w:tc>
          <w:tcPr>
            <w:tcW w:w="0" w:type="auto"/>
            <w:hideMark/>
          </w:tcPr>
          <w:p w14:paraId="5372628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45.0 [0.0010]</w:t>
            </w:r>
          </w:p>
        </w:tc>
      </w:tr>
      <w:tr w:rsidR="00CD6BB4" w:rsidRPr="00074369" w14:paraId="7624294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BAE61A4" w14:textId="5D6B7EF1" w:rsidR="00CD6BB4" w:rsidRPr="00074369" w:rsidRDefault="00F256B3" w:rsidP="007C15C8">
            <w:pPr>
              <w:spacing w:after="0" w:line="240" w:lineRule="auto"/>
              <w:rPr>
                <w:rFonts w:asciiTheme="minorHAnsi" w:hAnsiTheme="minorHAnsi" w:cstheme="minorHAnsi"/>
                <w:szCs w:val="20"/>
              </w:rPr>
            </w:pPr>
            <m:oMath>
              <m:r>
                <w:rPr>
                  <w:rFonts w:ascii="Cambria Math" w:hAnsi="Cambria Math" w:cstheme="minorHAnsi"/>
                  <w:color w:val="333333"/>
                  <w:szCs w:val="20"/>
                </w:rPr>
                <m:t>H_0</m:t>
              </m:r>
              <m:r>
                <w:rPr>
                  <w:rFonts w:ascii="Cambria Math" w:hAnsi="Cambria Math" w:cstheme="minorHAnsi"/>
                  <w:color w:val="333333"/>
                  <w:szCs w:val="20"/>
                </w:rPr>
                <m:t xml:space="preserve">: </m:t>
              </m:r>
              <m:r>
                <w:rPr>
                  <w:rFonts w:ascii="Cambria Math" w:hAnsi="Cambria Math" w:cstheme="minorHAnsi"/>
                  <w:color w:val="333333"/>
                  <w:szCs w:val="20"/>
                </w:rPr>
                <m:t>θ_t</m:t>
              </m:r>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tcBorders>
              <w:bottom w:val="single" w:sz="12" w:space="0" w:color="auto"/>
            </w:tcBorders>
            <w:hideMark/>
          </w:tcPr>
          <w:p w14:paraId="4BE4C85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25.5 [0.1460]</w:t>
            </w:r>
          </w:p>
        </w:tc>
        <w:tc>
          <w:tcPr>
            <w:tcW w:w="0" w:type="auto"/>
            <w:tcBorders>
              <w:bottom w:val="single" w:sz="12" w:space="0" w:color="auto"/>
            </w:tcBorders>
            <w:hideMark/>
          </w:tcPr>
          <w:p w14:paraId="22E588F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30.6 [0.0450]</w:t>
            </w:r>
          </w:p>
        </w:tc>
        <w:tc>
          <w:tcPr>
            <w:tcW w:w="0" w:type="auto"/>
            <w:tcBorders>
              <w:bottom w:val="single" w:sz="12" w:space="0" w:color="auto"/>
            </w:tcBorders>
            <w:hideMark/>
          </w:tcPr>
          <w:p w14:paraId="5AC3644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32.5 [0.0270]</w:t>
            </w:r>
          </w:p>
        </w:tc>
        <w:tc>
          <w:tcPr>
            <w:tcW w:w="0" w:type="auto"/>
            <w:tcBorders>
              <w:bottom w:val="single" w:sz="12" w:space="0" w:color="auto"/>
            </w:tcBorders>
            <w:hideMark/>
          </w:tcPr>
          <w:p w14:paraId="14EA289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39.4 [0.0040]</w:t>
            </w:r>
          </w:p>
        </w:tc>
      </w:tr>
      <w:tr w:rsidR="00CD6BB4" w:rsidRPr="00074369" w14:paraId="028D1A6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0C47BB1E" w14:textId="77777777" w:rsidR="00CD6BB4"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Nota: </w:t>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t>N. grados de libertad igual a 19 para todos las pruebas.</w:t>
            </w:r>
          </w:p>
          <w:p w14:paraId="645095BB" w14:textId="64106F9E" w:rsidR="00F81750" w:rsidRPr="00074369" w:rsidRDefault="00F81750" w:rsidP="007C15C8">
            <w:pPr>
              <w:spacing w:after="0" w:line="240" w:lineRule="auto"/>
              <w:jc w:val="left"/>
              <w:rPr>
                <w:rFonts w:asciiTheme="minorHAnsi" w:hAnsiTheme="minorHAnsi" w:cstheme="minorHAnsi"/>
                <w:szCs w:val="20"/>
              </w:rPr>
            </w:pPr>
            <w:r>
              <w:rPr>
                <w:rFonts w:asciiTheme="minorHAnsi" w:hAnsiTheme="minorHAnsi" w:cstheme="minorHAnsi"/>
                <w:szCs w:val="20"/>
              </w:rPr>
              <w:t>Fallar en rechazar las hipótesis nulas conlleva a estimar el modelo simplificado (SAR o SEM según sea el caso)</w:t>
            </w:r>
          </w:p>
        </w:tc>
      </w:tr>
    </w:tbl>
    <w:p w14:paraId="7A3A915E" w14:textId="77777777" w:rsidR="00CD6BB4" w:rsidRPr="00074369" w:rsidRDefault="00CD6BB4" w:rsidP="00CD6BB4">
      <w:pPr>
        <w:spacing w:before="120" w:after="360"/>
        <w:rPr>
          <w:sz w:val="18"/>
        </w:rPr>
      </w:pPr>
      <w:r w:rsidRPr="00074369">
        <w:rPr>
          <w:sz w:val="18"/>
        </w:rPr>
        <w:t>Fuente: Elaboración propia, 2019.</w:t>
      </w:r>
    </w:p>
    <w:p w14:paraId="0A1972C0" w14:textId="1AC952D7" w:rsidR="00CD6BB4" w:rsidRPr="00074369" w:rsidRDefault="00CD6BB4" w:rsidP="00CD6BB4">
      <w:pPr>
        <w:pStyle w:val="Descripcin"/>
      </w:pPr>
      <w:bookmarkStart w:id="216" w:name="_Ref9168200"/>
      <w:bookmarkStart w:id="217" w:name="_Toc9171803"/>
      <w:r w:rsidRPr="00074369">
        <w:t xml:space="preserve">Tabla </w:t>
      </w:r>
      <w:r w:rsidRPr="00074369">
        <w:fldChar w:fldCharType="begin"/>
      </w:r>
      <w:r w:rsidRPr="00074369">
        <w:instrText xml:space="preserve"> SEQ Tabla \* ARABIC </w:instrText>
      </w:r>
      <w:r w:rsidRPr="00074369">
        <w:fldChar w:fldCharType="separate"/>
      </w:r>
      <w:r w:rsidR="004C0429">
        <w:rPr>
          <w:noProof/>
        </w:rPr>
        <w:t>14</w:t>
      </w:r>
      <w:r w:rsidRPr="00074369">
        <w:fldChar w:fldCharType="end"/>
      </w:r>
      <w:bookmarkEnd w:id="216"/>
      <w:r w:rsidRPr="00074369">
        <w:t xml:space="preserve">: Resultados del modelo </w:t>
      </w:r>
      <w:proofErr w:type="spellStart"/>
      <w:r w:rsidRPr="00074369">
        <w:t>autoregresivo</w:t>
      </w:r>
      <w:proofErr w:type="spellEnd"/>
      <w:r w:rsidRPr="00074369">
        <w:t xml:space="preserve"> espacial y sus impactos para combustible diésel en Marzo – 2018.</w:t>
      </w:r>
      <w:bookmarkEnd w:id="217"/>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CD6BB4" w:rsidRPr="00074369" w14:paraId="59F4DF5D" w14:textId="77777777" w:rsidTr="007C15C8">
        <w:trPr>
          <w:trHeight w:val="364"/>
        </w:trPr>
        <w:tc>
          <w:tcPr>
            <w:tcW w:w="1838" w:type="dxa"/>
            <w:tcBorders>
              <w:top w:val="single" w:sz="12" w:space="0" w:color="auto"/>
            </w:tcBorders>
            <w:hideMark/>
          </w:tcPr>
          <w:p w14:paraId="0D53DEA9" w14:textId="77777777" w:rsidR="00CD6BB4" w:rsidRPr="00074369" w:rsidRDefault="00CD6BB4" w:rsidP="007C15C8">
            <w:pPr>
              <w:spacing w:after="0" w:line="240" w:lineRule="auto"/>
              <w:jc w:val="left"/>
              <w:rPr>
                <w:rFonts w:asciiTheme="majorHAnsi" w:hAnsiTheme="majorHAnsi"/>
                <w:szCs w:val="20"/>
              </w:rPr>
            </w:pPr>
          </w:p>
        </w:tc>
        <w:tc>
          <w:tcPr>
            <w:tcW w:w="1372" w:type="dxa"/>
            <w:tcBorders>
              <w:top w:val="single" w:sz="12" w:space="0" w:color="auto"/>
            </w:tcBorders>
            <w:hideMark/>
          </w:tcPr>
          <w:p w14:paraId="6591A1A1" w14:textId="77777777" w:rsidR="00CD6BB4" w:rsidRPr="00074369" w:rsidRDefault="00CD6BB4" w:rsidP="007C15C8">
            <w:pPr>
              <w:spacing w:after="0" w:line="240" w:lineRule="auto"/>
              <w:jc w:val="left"/>
              <w:textAlignment w:val="bottom"/>
              <w:rPr>
                <w:rFonts w:asciiTheme="majorHAnsi" w:hAnsi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EF28C16" w14:textId="77777777" w:rsidR="00CD6BB4" w:rsidRPr="00074369" w:rsidRDefault="00CD6BB4" w:rsidP="007C15C8">
            <w:pPr>
              <w:spacing w:after="0" w:line="240" w:lineRule="auto"/>
              <w:jc w:val="center"/>
              <w:textAlignment w:val="bottom"/>
              <w:rPr>
                <w:rFonts w:asciiTheme="majorHAnsi" w:hAnsiTheme="majorHAnsi"/>
                <w:szCs w:val="20"/>
              </w:rPr>
            </w:pPr>
            <w:r w:rsidRPr="00074369">
              <w:rPr>
                <w:rFonts w:asciiTheme="majorHAnsi" w:hAnsiTheme="majorHAnsi"/>
                <w:b/>
                <w:kern w:val="24"/>
                <w:szCs w:val="20"/>
              </w:rPr>
              <w:t xml:space="preserve">Modelo </w:t>
            </w:r>
            <w:r w:rsidRPr="00074369">
              <w:rPr>
                <w:rFonts w:asciiTheme="majorHAnsi" w:hAnsiTheme="majorHAnsi" w:cstheme="majorHAnsi"/>
                <w:b/>
                <w:bCs/>
                <w:kern w:val="24"/>
                <w:szCs w:val="20"/>
              </w:rPr>
              <w:t xml:space="preserve">Espacial </w:t>
            </w:r>
            <w:proofErr w:type="spellStart"/>
            <w:r w:rsidRPr="00074369">
              <w:rPr>
                <w:rFonts w:asciiTheme="majorHAnsi" w:hAnsiTheme="majorHAnsi" w:cstheme="majorHAnsi"/>
                <w:b/>
                <w:bCs/>
                <w:kern w:val="24"/>
                <w:szCs w:val="20"/>
              </w:rPr>
              <w:t>Autoregresivo</w:t>
            </w:r>
            <w:proofErr w:type="spellEnd"/>
            <w:r w:rsidRPr="00074369">
              <w:rPr>
                <w:rFonts w:asciiTheme="majorHAnsi" w:hAnsiTheme="majorHAnsi" w:cstheme="majorHAnsi"/>
                <w:b/>
                <w:bCs/>
                <w:kern w:val="24"/>
                <w:szCs w:val="20"/>
              </w:rPr>
              <w:t xml:space="preserve"> (SAR)</w:t>
            </w:r>
          </w:p>
        </w:tc>
      </w:tr>
      <w:tr w:rsidR="00CD6BB4" w:rsidRPr="00074369" w14:paraId="7DEF563F" w14:textId="77777777" w:rsidTr="007C15C8">
        <w:trPr>
          <w:trHeight w:val="20"/>
        </w:trPr>
        <w:tc>
          <w:tcPr>
            <w:tcW w:w="1838" w:type="dxa"/>
            <w:tcBorders>
              <w:bottom w:val="single" w:sz="4" w:space="0" w:color="auto"/>
            </w:tcBorders>
            <w:hideMark/>
          </w:tcPr>
          <w:p w14:paraId="2229D58B" w14:textId="77777777" w:rsidR="00CD6BB4" w:rsidRPr="00074369" w:rsidRDefault="00CD6BB4" w:rsidP="007C15C8">
            <w:pPr>
              <w:spacing w:after="0" w:line="240" w:lineRule="auto"/>
              <w:jc w:val="left"/>
              <w:textAlignment w:val="bottom"/>
              <w:rPr>
                <w:szCs w:val="20"/>
              </w:rPr>
            </w:pPr>
            <w:r w:rsidRPr="00074369">
              <w:rPr>
                <w:kern w:val="24"/>
                <w:szCs w:val="20"/>
              </w:rPr>
              <w:t>Variable</w:t>
            </w:r>
          </w:p>
        </w:tc>
        <w:tc>
          <w:tcPr>
            <w:tcW w:w="1372" w:type="dxa"/>
            <w:tcBorders>
              <w:bottom w:val="single" w:sz="4" w:space="0" w:color="auto"/>
            </w:tcBorders>
            <w:hideMark/>
          </w:tcPr>
          <w:p w14:paraId="39F1F868" w14:textId="77777777" w:rsidR="00CD6BB4" w:rsidRPr="00074369" w:rsidRDefault="00CD6BB4" w:rsidP="007C15C8">
            <w:pPr>
              <w:spacing w:after="0" w:line="240" w:lineRule="auto"/>
              <w:jc w:val="left"/>
              <w:rPr>
                <w:szCs w:val="20"/>
              </w:rPr>
            </w:pPr>
            <w:r w:rsidRPr="00074369">
              <w:rPr>
                <w:rFonts w:cstheme="minorHAnsi"/>
                <w:szCs w:val="20"/>
              </w:rPr>
              <w:t>Parámetros</w:t>
            </w:r>
          </w:p>
        </w:tc>
        <w:tc>
          <w:tcPr>
            <w:tcW w:w="1833" w:type="dxa"/>
            <w:tcBorders>
              <w:bottom w:val="single" w:sz="4" w:space="0" w:color="auto"/>
            </w:tcBorders>
            <w:hideMark/>
          </w:tcPr>
          <w:p w14:paraId="12D38F7E" w14:textId="77777777" w:rsidR="00CD6BB4" w:rsidRPr="00074369" w:rsidRDefault="00CD6BB4" w:rsidP="007C15C8">
            <w:pPr>
              <w:spacing w:after="0" w:line="240" w:lineRule="auto"/>
              <w:jc w:val="right"/>
              <w:textAlignment w:val="bottom"/>
              <w:rPr>
                <w:szCs w:val="20"/>
              </w:rPr>
            </w:pPr>
            <w:r w:rsidRPr="00074369">
              <w:rPr>
                <w:rFonts w:cstheme="minorHAnsi"/>
                <w:kern w:val="24"/>
                <w:szCs w:val="20"/>
              </w:rPr>
              <w:t>Parámetros</w:t>
            </w:r>
          </w:p>
        </w:tc>
        <w:tc>
          <w:tcPr>
            <w:tcW w:w="1273" w:type="dxa"/>
            <w:tcBorders>
              <w:bottom w:val="single" w:sz="4" w:space="0" w:color="auto"/>
            </w:tcBorders>
            <w:hideMark/>
          </w:tcPr>
          <w:p w14:paraId="593482DA" w14:textId="77777777" w:rsidR="00CD6BB4" w:rsidRPr="00074369" w:rsidRDefault="00CD6BB4" w:rsidP="007C15C8">
            <w:pPr>
              <w:spacing w:after="0" w:line="240" w:lineRule="auto"/>
              <w:jc w:val="center"/>
              <w:textAlignment w:val="bottom"/>
              <w:rPr>
                <w:szCs w:val="20"/>
              </w:rPr>
            </w:pPr>
            <w:r w:rsidRPr="00074369">
              <w:rPr>
                <w:kern w:val="24"/>
                <w:szCs w:val="20"/>
              </w:rPr>
              <w:t>Directo</w:t>
            </w:r>
          </w:p>
        </w:tc>
        <w:tc>
          <w:tcPr>
            <w:tcW w:w="1273" w:type="dxa"/>
            <w:tcBorders>
              <w:bottom w:val="single" w:sz="4" w:space="0" w:color="auto"/>
            </w:tcBorders>
            <w:hideMark/>
          </w:tcPr>
          <w:p w14:paraId="4E8CDA3C" w14:textId="77777777" w:rsidR="00CD6BB4" w:rsidRPr="00074369" w:rsidRDefault="00CD6BB4" w:rsidP="007C15C8">
            <w:pPr>
              <w:spacing w:after="0" w:line="240" w:lineRule="auto"/>
              <w:jc w:val="center"/>
              <w:textAlignment w:val="bottom"/>
              <w:rPr>
                <w:szCs w:val="20"/>
              </w:rPr>
            </w:pPr>
            <w:r w:rsidRPr="00074369">
              <w:rPr>
                <w:kern w:val="24"/>
                <w:szCs w:val="20"/>
              </w:rPr>
              <w:t>Indirecto</w:t>
            </w:r>
          </w:p>
        </w:tc>
        <w:tc>
          <w:tcPr>
            <w:tcW w:w="1058" w:type="dxa"/>
            <w:tcBorders>
              <w:bottom w:val="single" w:sz="4" w:space="0" w:color="auto"/>
            </w:tcBorders>
            <w:hideMark/>
          </w:tcPr>
          <w:p w14:paraId="0C9CFF00" w14:textId="77777777" w:rsidR="00CD6BB4" w:rsidRPr="00074369" w:rsidRDefault="00CD6BB4" w:rsidP="007C15C8">
            <w:pPr>
              <w:spacing w:after="0" w:line="240" w:lineRule="auto"/>
              <w:jc w:val="center"/>
              <w:textAlignment w:val="bottom"/>
              <w:rPr>
                <w:szCs w:val="20"/>
              </w:rPr>
            </w:pPr>
            <w:r w:rsidRPr="00074369">
              <w:rPr>
                <w:kern w:val="24"/>
                <w:szCs w:val="20"/>
              </w:rPr>
              <w:t>Total</w:t>
            </w:r>
          </w:p>
        </w:tc>
      </w:tr>
      <w:tr w:rsidR="00CD6BB4" w:rsidRPr="00074369" w14:paraId="3879278D" w14:textId="77777777" w:rsidTr="007C15C8">
        <w:trPr>
          <w:trHeight w:val="20"/>
        </w:trPr>
        <w:tc>
          <w:tcPr>
            <w:tcW w:w="1838" w:type="dxa"/>
            <w:tcBorders>
              <w:top w:val="single" w:sz="4" w:space="0" w:color="auto"/>
            </w:tcBorders>
            <w:hideMark/>
          </w:tcPr>
          <w:p w14:paraId="61CCB861" w14:textId="77777777" w:rsidR="00CD6BB4" w:rsidRPr="00074369" w:rsidRDefault="00CD6BB4" w:rsidP="007C15C8">
            <w:pPr>
              <w:spacing w:after="0" w:line="240" w:lineRule="auto"/>
              <w:jc w:val="left"/>
              <w:textAlignment w:val="top"/>
              <w:rPr>
                <w:szCs w:val="20"/>
              </w:rPr>
            </w:pPr>
            <w:r w:rsidRPr="00074369">
              <w:rPr>
                <w:kern w:val="24"/>
                <w:szCs w:val="20"/>
              </w:rPr>
              <w:t xml:space="preserve">Abanderada </w:t>
            </w:r>
            <w:r w:rsidRPr="00074369">
              <w:rPr>
                <w:rFonts w:cstheme="minorHAnsi"/>
                <w:kern w:val="24"/>
                <w:szCs w:val="20"/>
              </w:rPr>
              <w:t>Petroperú</w:t>
            </w:r>
          </w:p>
        </w:tc>
        <w:tc>
          <w:tcPr>
            <w:tcW w:w="1372" w:type="dxa"/>
            <w:tcBorders>
              <w:top w:val="single" w:sz="4" w:space="0" w:color="auto"/>
            </w:tcBorders>
            <w:hideMark/>
          </w:tcPr>
          <w:p w14:paraId="05CA471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094</w:t>
            </w:r>
          </w:p>
        </w:tc>
        <w:tc>
          <w:tcPr>
            <w:tcW w:w="1833" w:type="dxa"/>
            <w:tcBorders>
              <w:top w:val="single" w:sz="4" w:space="0" w:color="auto"/>
            </w:tcBorders>
            <w:hideMark/>
          </w:tcPr>
          <w:p w14:paraId="3C152B3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056 (0.063)</w:t>
            </w:r>
          </w:p>
        </w:tc>
        <w:tc>
          <w:tcPr>
            <w:tcW w:w="1273" w:type="dxa"/>
            <w:tcBorders>
              <w:top w:val="single" w:sz="4" w:space="0" w:color="auto"/>
            </w:tcBorders>
            <w:hideMark/>
          </w:tcPr>
          <w:p w14:paraId="1328E21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w:t>
            </w:r>
          </w:p>
        </w:tc>
        <w:tc>
          <w:tcPr>
            <w:tcW w:w="1273" w:type="dxa"/>
            <w:tcBorders>
              <w:top w:val="single" w:sz="4" w:space="0" w:color="auto"/>
            </w:tcBorders>
            <w:hideMark/>
          </w:tcPr>
          <w:p w14:paraId="2276236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056</w:t>
            </w:r>
          </w:p>
        </w:tc>
        <w:tc>
          <w:tcPr>
            <w:tcW w:w="1058" w:type="dxa"/>
            <w:tcBorders>
              <w:top w:val="single" w:sz="4" w:space="0" w:color="auto"/>
            </w:tcBorders>
            <w:hideMark/>
          </w:tcPr>
          <w:p w14:paraId="293A311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115</w:t>
            </w:r>
          </w:p>
        </w:tc>
      </w:tr>
      <w:tr w:rsidR="00CD6BB4" w:rsidRPr="00074369" w14:paraId="2C413F80" w14:textId="77777777" w:rsidTr="007C15C8">
        <w:trPr>
          <w:trHeight w:val="20"/>
        </w:trPr>
        <w:tc>
          <w:tcPr>
            <w:tcW w:w="1838" w:type="dxa"/>
            <w:hideMark/>
          </w:tcPr>
          <w:p w14:paraId="1AEF25EA" w14:textId="77777777" w:rsidR="00CD6BB4" w:rsidRPr="00074369" w:rsidRDefault="00CD6BB4" w:rsidP="007C15C8">
            <w:pPr>
              <w:spacing w:after="0" w:line="240" w:lineRule="auto"/>
              <w:jc w:val="left"/>
              <w:textAlignment w:val="top"/>
              <w:rPr>
                <w:szCs w:val="20"/>
              </w:rPr>
            </w:pPr>
            <w:r w:rsidRPr="00074369">
              <w:rPr>
                <w:kern w:val="24"/>
                <w:szCs w:val="20"/>
              </w:rPr>
              <w:t>Abanderada Pecsa</w:t>
            </w:r>
          </w:p>
        </w:tc>
        <w:tc>
          <w:tcPr>
            <w:tcW w:w="1372" w:type="dxa"/>
            <w:hideMark/>
          </w:tcPr>
          <w:p w14:paraId="638E45B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162 </w:t>
            </w:r>
            <w:r w:rsidRPr="00074369">
              <w:rPr>
                <w:rFonts w:cstheme="minorHAnsi"/>
                <w:kern w:val="24"/>
                <w:position w:val="7"/>
                <w:szCs w:val="20"/>
                <w:vertAlign w:val="superscript"/>
              </w:rPr>
              <w:t>*</w:t>
            </w:r>
          </w:p>
        </w:tc>
        <w:tc>
          <w:tcPr>
            <w:tcW w:w="1833" w:type="dxa"/>
            <w:hideMark/>
          </w:tcPr>
          <w:p w14:paraId="64166BA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152</w:t>
            </w:r>
            <w:r w:rsidRPr="00074369">
              <w:rPr>
                <w:rFonts w:eastAsiaTheme="minorEastAsia" w:cstheme="minorHAnsi"/>
                <w:kern w:val="24"/>
                <w:position w:val="7"/>
                <w:szCs w:val="20"/>
                <w:vertAlign w:val="superscript"/>
              </w:rPr>
              <w:t>**</w:t>
            </w:r>
            <w:r w:rsidRPr="00074369">
              <w:rPr>
                <w:rFonts w:eastAsiaTheme="minorEastAsia" w:cstheme="minorHAnsi"/>
                <w:kern w:val="24"/>
                <w:szCs w:val="20"/>
              </w:rPr>
              <w:t> (0.072)</w:t>
            </w:r>
          </w:p>
        </w:tc>
        <w:tc>
          <w:tcPr>
            <w:tcW w:w="1273" w:type="dxa"/>
            <w:hideMark/>
          </w:tcPr>
          <w:p w14:paraId="4B2CD98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161 </w:t>
            </w:r>
            <w:r w:rsidRPr="00074369">
              <w:rPr>
                <w:rFonts w:cstheme="minorHAnsi"/>
                <w:kern w:val="24"/>
                <w:position w:val="7"/>
                <w:szCs w:val="20"/>
                <w:vertAlign w:val="superscript"/>
              </w:rPr>
              <w:t>**</w:t>
            </w:r>
          </w:p>
        </w:tc>
        <w:tc>
          <w:tcPr>
            <w:tcW w:w="1273" w:type="dxa"/>
            <w:hideMark/>
          </w:tcPr>
          <w:p w14:paraId="12A123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w:t>
            </w:r>
            <w:r w:rsidRPr="00074369">
              <w:rPr>
                <w:rFonts w:cstheme="minorHAnsi"/>
                <w:kern w:val="24"/>
                <w:position w:val="7"/>
                <w:szCs w:val="20"/>
                <w:vertAlign w:val="superscript"/>
              </w:rPr>
              <w:t>**</w:t>
            </w:r>
          </w:p>
        </w:tc>
        <w:tc>
          <w:tcPr>
            <w:tcW w:w="1058" w:type="dxa"/>
            <w:hideMark/>
          </w:tcPr>
          <w:p w14:paraId="4AC96C0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311 </w:t>
            </w:r>
            <w:r w:rsidRPr="00074369">
              <w:rPr>
                <w:rFonts w:cstheme="minorHAnsi"/>
                <w:kern w:val="24"/>
                <w:position w:val="7"/>
                <w:szCs w:val="20"/>
                <w:vertAlign w:val="superscript"/>
              </w:rPr>
              <w:t>**</w:t>
            </w:r>
          </w:p>
        </w:tc>
      </w:tr>
      <w:tr w:rsidR="00CD6BB4" w:rsidRPr="00074369" w14:paraId="718FE249" w14:textId="77777777" w:rsidTr="007C15C8">
        <w:trPr>
          <w:trHeight w:val="20"/>
        </w:trPr>
        <w:tc>
          <w:tcPr>
            <w:tcW w:w="1838" w:type="dxa"/>
            <w:hideMark/>
          </w:tcPr>
          <w:p w14:paraId="5E2DE2DF" w14:textId="77777777" w:rsidR="00CD6BB4" w:rsidRPr="00074369" w:rsidRDefault="00CD6BB4" w:rsidP="007C15C8">
            <w:pPr>
              <w:spacing w:after="0" w:line="240" w:lineRule="auto"/>
              <w:jc w:val="left"/>
              <w:textAlignment w:val="top"/>
              <w:rPr>
                <w:szCs w:val="20"/>
              </w:rPr>
            </w:pPr>
            <w:r w:rsidRPr="00074369">
              <w:rPr>
                <w:kern w:val="24"/>
                <w:szCs w:val="20"/>
              </w:rPr>
              <w:t>Abanderada Primax</w:t>
            </w:r>
          </w:p>
        </w:tc>
        <w:tc>
          <w:tcPr>
            <w:tcW w:w="1372" w:type="dxa"/>
            <w:hideMark/>
          </w:tcPr>
          <w:p w14:paraId="216568E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341 </w:t>
            </w:r>
            <w:r w:rsidRPr="00074369">
              <w:rPr>
                <w:rFonts w:cstheme="minorHAnsi"/>
                <w:kern w:val="24"/>
                <w:position w:val="7"/>
                <w:szCs w:val="20"/>
                <w:vertAlign w:val="superscript"/>
              </w:rPr>
              <w:t>***</w:t>
            </w:r>
          </w:p>
        </w:tc>
        <w:tc>
          <w:tcPr>
            <w:tcW w:w="1833" w:type="dxa"/>
            <w:hideMark/>
          </w:tcPr>
          <w:p w14:paraId="4A75D18A"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295</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(0.054)</w:t>
            </w:r>
          </w:p>
        </w:tc>
        <w:tc>
          <w:tcPr>
            <w:tcW w:w="1273" w:type="dxa"/>
            <w:hideMark/>
          </w:tcPr>
          <w:p w14:paraId="24F4656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313 </w:t>
            </w:r>
            <w:r w:rsidRPr="00074369">
              <w:rPr>
                <w:kern w:val="24"/>
                <w:position w:val="7"/>
                <w:szCs w:val="20"/>
                <w:vertAlign w:val="superscript"/>
              </w:rPr>
              <w:t>***</w:t>
            </w:r>
          </w:p>
        </w:tc>
        <w:tc>
          <w:tcPr>
            <w:tcW w:w="1273" w:type="dxa"/>
            <w:hideMark/>
          </w:tcPr>
          <w:p w14:paraId="4EE261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292</w:t>
            </w:r>
            <w:r w:rsidRPr="00074369">
              <w:rPr>
                <w:kern w:val="24"/>
                <w:position w:val="7"/>
                <w:szCs w:val="20"/>
                <w:vertAlign w:val="superscript"/>
              </w:rPr>
              <w:t>***</w:t>
            </w:r>
          </w:p>
        </w:tc>
        <w:tc>
          <w:tcPr>
            <w:tcW w:w="1058" w:type="dxa"/>
            <w:hideMark/>
          </w:tcPr>
          <w:p w14:paraId="5DB1301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605 </w:t>
            </w:r>
            <w:r w:rsidRPr="00074369">
              <w:rPr>
                <w:rFonts w:cstheme="minorHAnsi"/>
                <w:kern w:val="24"/>
                <w:position w:val="7"/>
                <w:szCs w:val="20"/>
                <w:vertAlign w:val="superscript"/>
              </w:rPr>
              <w:t>***</w:t>
            </w:r>
          </w:p>
        </w:tc>
      </w:tr>
      <w:tr w:rsidR="00CD6BB4" w:rsidRPr="00074369" w14:paraId="10AE0FED" w14:textId="77777777" w:rsidTr="007C15C8">
        <w:trPr>
          <w:trHeight w:val="20"/>
        </w:trPr>
        <w:tc>
          <w:tcPr>
            <w:tcW w:w="1838" w:type="dxa"/>
            <w:hideMark/>
          </w:tcPr>
          <w:p w14:paraId="37E9003C" w14:textId="77777777" w:rsidR="00CD6BB4" w:rsidRPr="00074369" w:rsidRDefault="00CD6BB4" w:rsidP="007C15C8">
            <w:pPr>
              <w:spacing w:after="0" w:line="240" w:lineRule="auto"/>
              <w:jc w:val="left"/>
              <w:textAlignment w:val="top"/>
              <w:rPr>
                <w:szCs w:val="20"/>
              </w:rPr>
            </w:pPr>
            <w:r w:rsidRPr="00074369">
              <w:rPr>
                <w:kern w:val="24"/>
                <w:szCs w:val="20"/>
              </w:rPr>
              <w:t>Abanderada Repsol</w:t>
            </w:r>
          </w:p>
        </w:tc>
        <w:tc>
          <w:tcPr>
            <w:tcW w:w="1372" w:type="dxa"/>
            <w:hideMark/>
          </w:tcPr>
          <w:p w14:paraId="00BABF10"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303 </w:t>
            </w:r>
            <w:r w:rsidRPr="00074369">
              <w:rPr>
                <w:rFonts w:cstheme="minorHAnsi"/>
                <w:kern w:val="24"/>
                <w:position w:val="7"/>
                <w:szCs w:val="20"/>
                <w:vertAlign w:val="superscript"/>
              </w:rPr>
              <w:t>***</w:t>
            </w:r>
          </w:p>
        </w:tc>
        <w:tc>
          <w:tcPr>
            <w:tcW w:w="1833" w:type="dxa"/>
            <w:hideMark/>
          </w:tcPr>
          <w:p w14:paraId="1740844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253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(0.060)</w:t>
            </w:r>
          </w:p>
        </w:tc>
        <w:tc>
          <w:tcPr>
            <w:tcW w:w="1273" w:type="dxa"/>
            <w:hideMark/>
          </w:tcPr>
          <w:p w14:paraId="212086B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268 </w:t>
            </w:r>
            <w:r w:rsidRPr="00074369">
              <w:rPr>
                <w:rFonts w:cstheme="minorHAnsi"/>
                <w:kern w:val="24"/>
                <w:position w:val="7"/>
                <w:szCs w:val="20"/>
                <w:vertAlign w:val="superscript"/>
              </w:rPr>
              <w:t xml:space="preserve">*** </w:t>
            </w:r>
          </w:p>
        </w:tc>
        <w:tc>
          <w:tcPr>
            <w:tcW w:w="1273" w:type="dxa"/>
            <w:hideMark/>
          </w:tcPr>
          <w:p w14:paraId="77DD12C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25</w:t>
            </w:r>
            <w:r w:rsidRPr="00074369">
              <w:rPr>
                <w:rFonts w:cstheme="minorHAnsi"/>
                <w:kern w:val="24"/>
                <w:position w:val="7"/>
                <w:szCs w:val="20"/>
                <w:vertAlign w:val="superscript"/>
              </w:rPr>
              <w:t xml:space="preserve">*** </w:t>
            </w:r>
          </w:p>
        </w:tc>
        <w:tc>
          <w:tcPr>
            <w:tcW w:w="1058" w:type="dxa"/>
            <w:hideMark/>
          </w:tcPr>
          <w:p w14:paraId="77263AE3"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518 </w:t>
            </w:r>
            <w:r w:rsidRPr="00074369">
              <w:rPr>
                <w:rFonts w:cstheme="minorHAnsi"/>
                <w:kern w:val="24"/>
                <w:position w:val="7"/>
                <w:szCs w:val="20"/>
                <w:vertAlign w:val="superscript"/>
              </w:rPr>
              <w:t xml:space="preserve">*** </w:t>
            </w:r>
          </w:p>
        </w:tc>
      </w:tr>
      <w:tr w:rsidR="00CD6BB4" w:rsidRPr="00074369" w14:paraId="407D52F0" w14:textId="77777777" w:rsidTr="007C15C8">
        <w:trPr>
          <w:trHeight w:val="20"/>
        </w:trPr>
        <w:tc>
          <w:tcPr>
            <w:tcW w:w="1838" w:type="dxa"/>
            <w:hideMark/>
          </w:tcPr>
          <w:p w14:paraId="00A5BB83" w14:textId="77777777" w:rsidR="00CD6BB4" w:rsidRPr="00074369" w:rsidRDefault="00CD6BB4" w:rsidP="007C15C8">
            <w:pPr>
              <w:spacing w:after="0" w:line="240" w:lineRule="auto"/>
              <w:jc w:val="left"/>
              <w:textAlignment w:val="top"/>
              <w:rPr>
                <w:szCs w:val="20"/>
              </w:rPr>
            </w:pPr>
            <w:r w:rsidRPr="00074369">
              <w:rPr>
                <w:kern w:val="24"/>
                <w:szCs w:val="20"/>
              </w:rPr>
              <w:t>Propia Pecsa</w:t>
            </w:r>
          </w:p>
        </w:tc>
        <w:tc>
          <w:tcPr>
            <w:tcW w:w="1372" w:type="dxa"/>
            <w:hideMark/>
          </w:tcPr>
          <w:p w14:paraId="71173DD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006</w:t>
            </w:r>
          </w:p>
        </w:tc>
        <w:tc>
          <w:tcPr>
            <w:tcW w:w="1833" w:type="dxa"/>
            <w:hideMark/>
          </w:tcPr>
          <w:p w14:paraId="23AC7C96"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018 (0.079)</w:t>
            </w:r>
          </w:p>
        </w:tc>
        <w:tc>
          <w:tcPr>
            <w:tcW w:w="1273" w:type="dxa"/>
            <w:hideMark/>
          </w:tcPr>
          <w:p w14:paraId="2B3441E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019</w:t>
            </w:r>
          </w:p>
        </w:tc>
        <w:tc>
          <w:tcPr>
            <w:tcW w:w="1273" w:type="dxa"/>
            <w:hideMark/>
          </w:tcPr>
          <w:p w14:paraId="0ED1630F"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018</w:t>
            </w:r>
          </w:p>
        </w:tc>
        <w:tc>
          <w:tcPr>
            <w:tcW w:w="1058" w:type="dxa"/>
            <w:hideMark/>
          </w:tcPr>
          <w:p w14:paraId="11D2010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037</w:t>
            </w:r>
          </w:p>
        </w:tc>
      </w:tr>
      <w:tr w:rsidR="00CD6BB4" w:rsidRPr="00074369" w14:paraId="16985436" w14:textId="77777777" w:rsidTr="007C15C8">
        <w:trPr>
          <w:trHeight w:val="20"/>
        </w:trPr>
        <w:tc>
          <w:tcPr>
            <w:tcW w:w="1838" w:type="dxa"/>
            <w:hideMark/>
          </w:tcPr>
          <w:p w14:paraId="22E39748" w14:textId="77777777" w:rsidR="00CD6BB4" w:rsidRPr="00074369" w:rsidRDefault="00CD6BB4" w:rsidP="007C15C8">
            <w:pPr>
              <w:spacing w:after="0" w:line="240" w:lineRule="auto"/>
              <w:jc w:val="left"/>
              <w:textAlignment w:val="top"/>
              <w:rPr>
                <w:szCs w:val="20"/>
              </w:rPr>
            </w:pPr>
            <w:r w:rsidRPr="00074369">
              <w:rPr>
                <w:kern w:val="24"/>
                <w:szCs w:val="20"/>
              </w:rPr>
              <w:t>Propia Primax</w:t>
            </w:r>
          </w:p>
        </w:tc>
        <w:tc>
          <w:tcPr>
            <w:tcW w:w="1372" w:type="dxa"/>
            <w:hideMark/>
          </w:tcPr>
          <w:p w14:paraId="102F73A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618 </w:t>
            </w:r>
            <w:r w:rsidRPr="00074369">
              <w:rPr>
                <w:rFonts w:cstheme="minorHAnsi"/>
                <w:kern w:val="24"/>
                <w:position w:val="7"/>
                <w:szCs w:val="20"/>
                <w:vertAlign w:val="superscript"/>
              </w:rPr>
              <w:t xml:space="preserve">*** </w:t>
            </w:r>
          </w:p>
        </w:tc>
        <w:tc>
          <w:tcPr>
            <w:tcW w:w="1833" w:type="dxa"/>
            <w:hideMark/>
          </w:tcPr>
          <w:p w14:paraId="0775C1D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531</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(0.071)</w:t>
            </w:r>
          </w:p>
        </w:tc>
        <w:tc>
          <w:tcPr>
            <w:tcW w:w="1273" w:type="dxa"/>
            <w:hideMark/>
          </w:tcPr>
          <w:p w14:paraId="4B9A1099"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562 </w:t>
            </w:r>
            <w:r w:rsidRPr="00074369">
              <w:rPr>
                <w:rFonts w:cstheme="minorHAnsi"/>
                <w:kern w:val="24"/>
                <w:position w:val="7"/>
                <w:szCs w:val="20"/>
                <w:vertAlign w:val="superscript"/>
              </w:rPr>
              <w:t xml:space="preserve">*** </w:t>
            </w:r>
          </w:p>
        </w:tc>
        <w:tc>
          <w:tcPr>
            <w:tcW w:w="1273" w:type="dxa"/>
            <w:hideMark/>
          </w:tcPr>
          <w:p w14:paraId="707B9FF6"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0.526</w:t>
            </w:r>
            <w:r w:rsidRPr="00074369">
              <w:rPr>
                <w:rFonts w:cstheme="minorHAnsi"/>
                <w:kern w:val="24"/>
                <w:position w:val="7"/>
                <w:szCs w:val="20"/>
                <w:vertAlign w:val="superscript"/>
              </w:rPr>
              <w:t xml:space="preserve">*** </w:t>
            </w:r>
          </w:p>
        </w:tc>
        <w:tc>
          <w:tcPr>
            <w:tcW w:w="1058" w:type="dxa"/>
            <w:hideMark/>
          </w:tcPr>
          <w:p w14:paraId="51B48D2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1.088 </w:t>
            </w:r>
            <w:r w:rsidRPr="00074369">
              <w:rPr>
                <w:rFonts w:cstheme="minorHAnsi"/>
                <w:kern w:val="24"/>
                <w:position w:val="7"/>
                <w:szCs w:val="20"/>
                <w:vertAlign w:val="superscript"/>
              </w:rPr>
              <w:t xml:space="preserve">*** </w:t>
            </w:r>
          </w:p>
        </w:tc>
      </w:tr>
      <w:tr w:rsidR="00CD6BB4" w:rsidRPr="00074369" w14:paraId="198549FB" w14:textId="77777777" w:rsidTr="007C15C8">
        <w:trPr>
          <w:trHeight w:val="20"/>
        </w:trPr>
        <w:tc>
          <w:tcPr>
            <w:tcW w:w="1838" w:type="dxa"/>
            <w:hideMark/>
          </w:tcPr>
          <w:p w14:paraId="6CE347D3" w14:textId="77777777" w:rsidR="00CD6BB4" w:rsidRPr="00074369" w:rsidRDefault="00CD6BB4" w:rsidP="007C15C8">
            <w:pPr>
              <w:spacing w:after="0" w:line="240" w:lineRule="auto"/>
              <w:jc w:val="left"/>
              <w:textAlignment w:val="top"/>
              <w:rPr>
                <w:szCs w:val="20"/>
              </w:rPr>
            </w:pPr>
            <w:r w:rsidRPr="00074369">
              <w:rPr>
                <w:kern w:val="24"/>
                <w:szCs w:val="20"/>
              </w:rPr>
              <w:t>Propia Repsol</w:t>
            </w:r>
          </w:p>
        </w:tc>
        <w:tc>
          <w:tcPr>
            <w:tcW w:w="1372" w:type="dxa"/>
            <w:hideMark/>
          </w:tcPr>
          <w:p w14:paraId="664749E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405 </w:t>
            </w:r>
            <w:r w:rsidRPr="00074369">
              <w:rPr>
                <w:rFonts w:cstheme="minorHAnsi"/>
                <w:kern w:val="24"/>
                <w:position w:val="7"/>
                <w:szCs w:val="20"/>
                <w:vertAlign w:val="superscript"/>
              </w:rPr>
              <w:t xml:space="preserve">*** </w:t>
            </w:r>
          </w:p>
        </w:tc>
        <w:tc>
          <w:tcPr>
            <w:tcW w:w="1833" w:type="dxa"/>
            <w:hideMark/>
          </w:tcPr>
          <w:p w14:paraId="57EC3F6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343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(0.062)</w:t>
            </w:r>
          </w:p>
        </w:tc>
        <w:tc>
          <w:tcPr>
            <w:tcW w:w="1273" w:type="dxa"/>
            <w:hideMark/>
          </w:tcPr>
          <w:p w14:paraId="1D49034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364 </w:t>
            </w:r>
            <w:r w:rsidRPr="00074369">
              <w:rPr>
                <w:rFonts w:cstheme="minorHAnsi"/>
                <w:kern w:val="24"/>
                <w:position w:val="7"/>
                <w:szCs w:val="20"/>
                <w:vertAlign w:val="superscript"/>
              </w:rPr>
              <w:t xml:space="preserve">*** </w:t>
            </w:r>
          </w:p>
        </w:tc>
        <w:tc>
          <w:tcPr>
            <w:tcW w:w="1273" w:type="dxa"/>
            <w:hideMark/>
          </w:tcPr>
          <w:p w14:paraId="150F586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34</w:t>
            </w:r>
            <w:r w:rsidRPr="00074369">
              <w:rPr>
                <w:rFonts w:cstheme="minorHAnsi"/>
                <w:kern w:val="24"/>
                <w:position w:val="7"/>
                <w:szCs w:val="20"/>
                <w:vertAlign w:val="superscript"/>
              </w:rPr>
              <w:t xml:space="preserve">*** </w:t>
            </w:r>
          </w:p>
        </w:tc>
        <w:tc>
          <w:tcPr>
            <w:tcW w:w="1058" w:type="dxa"/>
            <w:hideMark/>
          </w:tcPr>
          <w:p w14:paraId="08BEC48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704 </w:t>
            </w:r>
            <w:r w:rsidRPr="00074369">
              <w:rPr>
                <w:rFonts w:cstheme="minorHAnsi"/>
                <w:kern w:val="24"/>
                <w:position w:val="7"/>
                <w:szCs w:val="20"/>
                <w:vertAlign w:val="superscript"/>
              </w:rPr>
              <w:t xml:space="preserve">*** </w:t>
            </w:r>
          </w:p>
        </w:tc>
      </w:tr>
      <w:tr w:rsidR="00CD6BB4" w:rsidRPr="00074369" w14:paraId="0721E98D" w14:textId="77777777" w:rsidTr="007C15C8">
        <w:trPr>
          <w:trHeight w:val="20"/>
        </w:trPr>
        <w:tc>
          <w:tcPr>
            <w:tcW w:w="1838" w:type="dxa"/>
            <w:hideMark/>
          </w:tcPr>
          <w:p w14:paraId="2973CFBE" w14:textId="77777777" w:rsidR="00CD6BB4" w:rsidRPr="00074369" w:rsidRDefault="00CD6BB4" w:rsidP="007C15C8">
            <w:pPr>
              <w:spacing w:after="0" w:line="240" w:lineRule="auto"/>
              <w:jc w:val="left"/>
              <w:textAlignment w:val="top"/>
              <w:rPr>
                <w:szCs w:val="20"/>
              </w:rPr>
            </w:pPr>
            <w:r w:rsidRPr="00074369">
              <w:rPr>
                <w:kern w:val="24"/>
                <w:szCs w:val="20"/>
              </w:rPr>
              <w:t>SC</w:t>
            </w:r>
          </w:p>
        </w:tc>
        <w:tc>
          <w:tcPr>
            <w:tcW w:w="1372" w:type="dxa"/>
            <w:hideMark/>
          </w:tcPr>
          <w:p w14:paraId="5AF5704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061</w:t>
            </w:r>
          </w:p>
        </w:tc>
        <w:tc>
          <w:tcPr>
            <w:tcW w:w="1833" w:type="dxa"/>
            <w:hideMark/>
          </w:tcPr>
          <w:p w14:paraId="14E16635"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117 (0.074)</w:t>
            </w:r>
          </w:p>
        </w:tc>
        <w:tc>
          <w:tcPr>
            <w:tcW w:w="1273" w:type="dxa"/>
            <w:hideMark/>
          </w:tcPr>
          <w:p w14:paraId="261AAFE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 xml:space="preserve">124              </w:t>
            </w:r>
          </w:p>
        </w:tc>
        <w:tc>
          <w:tcPr>
            <w:tcW w:w="1273" w:type="dxa"/>
            <w:hideMark/>
          </w:tcPr>
          <w:p w14:paraId="68DA468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116</w:t>
            </w:r>
          </w:p>
        </w:tc>
        <w:tc>
          <w:tcPr>
            <w:tcW w:w="1058" w:type="dxa"/>
            <w:hideMark/>
          </w:tcPr>
          <w:p w14:paraId="18D038D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24</w:t>
            </w:r>
          </w:p>
        </w:tc>
      </w:tr>
      <w:tr w:rsidR="00CD6BB4" w:rsidRPr="00074369" w14:paraId="52F33481" w14:textId="77777777" w:rsidTr="007C15C8">
        <w:trPr>
          <w:trHeight w:val="20"/>
        </w:trPr>
        <w:tc>
          <w:tcPr>
            <w:tcW w:w="1838" w:type="dxa"/>
            <w:hideMark/>
          </w:tcPr>
          <w:p w14:paraId="3B097E58" w14:textId="77777777" w:rsidR="00CD6BB4" w:rsidRPr="00074369" w:rsidRDefault="00CD6BB4" w:rsidP="007C15C8">
            <w:pPr>
              <w:spacing w:after="0" w:line="240" w:lineRule="auto"/>
              <w:jc w:val="left"/>
              <w:textAlignment w:val="top"/>
              <w:rPr>
                <w:szCs w:val="20"/>
              </w:rPr>
            </w:pPr>
            <w:r w:rsidRPr="00074369">
              <w:rPr>
                <w:kern w:val="24"/>
                <w:szCs w:val="20"/>
              </w:rPr>
              <w:t>DPROM</w:t>
            </w:r>
          </w:p>
        </w:tc>
        <w:tc>
          <w:tcPr>
            <w:tcW w:w="1372" w:type="dxa"/>
            <w:hideMark/>
          </w:tcPr>
          <w:p w14:paraId="7640D1A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189</w:t>
            </w:r>
          </w:p>
        </w:tc>
        <w:tc>
          <w:tcPr>
            <w:tcW w:w="1833" w:type="dxa"/>
            <w:hideMark/>
          </w:tcPr>
          <w:p w14:paraId="2FB8E6A4"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190 (0.127)</w:t>
            </w:r>
          </w:p>
        </w:tc>
        <w:tc>
          <w:tcPr>
            <w:tcW w:w="1273" w:type="dxa"/>
            <w:hideMark/>
          </w:tcPr>
          <w:p w14:paraId="6374E0B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201</w:t>
            </w:r>
          </w:p>
        </w:tc>
        <w:tc>
          <w:tcPr>
            <w:tcW w:w="1273" w:type="dxa"/>
            <w:hideMark/>
          </w:tcPr>
          <w:p w14:paraId="15DEB79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188</w:t>
            </w:r>
          </w:p>
        </w:tc>
        <w:tc>
          <w:tcPr>
            <w:tcW w:w="1058" w:type="dxa"/>
            <w:hideMark/>
          </w:tcPr>
          <w:p w14:paraId="1C35B1D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389</w:t>
            </w:r>
          </w:p>
        </w:tc>
      </w:tr>
      <w:tr w:rsidR="00CD6BB4" w:rsidRPr="00074369" w14:paraId="73653489" w14:textId="77777777" w:rsidTr="007C15C8">
        <w:trPr>
          <w:trHeight w:val="20"/>
        </w:trPr>
        <w:tc>
          <w:tcPr>
            <w:tcW w:w="1838" w:type="dxa"/>
            <w:hideMark/>
          </w:tcPr>
          <w:p w14:paraId="57321EB1" w14:textId="77777777" w:rsidR="00CD6BB4" w:rsidRPr="00074369" w:rsidRDefault="00CD6BB4" w:rsidP="007C15C8">
            <w:pPr>
              <w:spacing w:after="0" w:line="240" w:lineRule="auto"/>
              <w:jc w:val="left"/>
              <w:textAlignment w:val="top"/>
              <w:rPr>
                <w:szCs w:val="20"/>
              </w:rPr>
            </w:pPr>
            <w:r w:rsidRPr="00074369">
              <w:rPr>
                <w:kern w:val="24"/>
                <w:szCs w:val="20"/>
              </w:rPr>
              <w:t>DMIN</w:t>
            </w:r>
          </w:p>
        </w:tc>
        <w:tc>
          <w:tcPr>
            <w:tcW w:w="1372" w:type="dxa"/>
            <w:hideMark/>
          </w:tcPr>
          <w:p w14:paraId="38D0405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085</w:t>
            </w:r>
          </w:p>
        </w:tc>
        <w:tc>
          <w:tcPr>
            <w:tcW w:w="1833" w:type="dxa"/>
            <w:hideMark/>
          </w:tcPr>
          <w:p w14:paraId="28424EB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078 (0.052)</w:t>
            </w:r>
          </w:p>
        </w:tc>
        <w:tc>
          <w:tcPr>
            <w:tcW w:w="1273" w:type="dxa"/>
            <w:hideMark/>
          </w:tcPr>
          <w:p w14:paraId="12D2599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082</w:t>
            </w:r>
          </w:p>
        </w:tc>
        <w:tc>
          <w:tcPr>
            <w:tcW w:w="1273" w:type="dxa"/>
            <w:hideMark/>
          </w:tcPr>
          <w:p w14:paraId="2AC29AB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077</w:t>
            </w:r>
          </w:p>
        </w:tc>
        <w:tc>
          <w:tcPr>
            <w:tcW w:w="1058" w:type="dxa"/>
            <w:hideMark/>
          </w:tcPr>
          <w:p w14:paraId="06B546A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159</w:t>
            </w:r>
          </w:p>
        </w:tc>
      </w:tr>
      <w:tr w:rsidR="00CD6BB4" w:rsidRPr="00074369" w14:paraId="7E607612" w14:textId="77777777" w:rsidTr="007C15C8">
        <w:trPr>
          <w:trHeight w:val="20"/>
        </w:trPr>
        <w:tc>
          <w:tcPr>
            <w:tcW w:w="1838" w:type="dxa"/>
            <w:hideMark/>
          </w:tcPr>
          <w:p w14:paraId="0C9D55DF"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NCER</w:t>
            </w:r>
          </w:p>
        </w:tc>
        <w:tc>
          <w:tcPr>
            <w:tcW w:w="1372" w:type="dxa"/>
            <w:hideMark/>
          </w:tcPr>
          <w:p w14:paraId="0AF40749"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c>
          <w:tcPr>
            <w:tcW w:w="1833" w:type="dxa"/>
            <w:hideMark/>
          </w:tcPr>
          <w:p w14:paraId="4EC822A2"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007</w:t>
            </w:r>
            <w:r w:rsidRPr="00074369">
              <w:rPr>
                <w:rFonts w:eastAsiaTheme="minorEastAsia" w:cstheme="minorHAnsi"/>
                <w:kern w:val="24"/>
                <w:szCs w:val="20"/>
                <w:vertAlign w:val="superscript"/>
              </w:rPr>
              <w:t>**</w:t>
            </w:r>
            <w:r w:rsidRPr="00074369">
              <w:rPr>
                <w:rFonts w:eastAsiaTheme="minorEastAsia" w:cstheme="minorHAnsi"/>
                <w:kern w:val="24"/>
                <w:szCs w:val="20"/>
              </w:rPr>
              <w:t> (0.003)</w:t>
            </w:r>
          </w:p>
        </w:tc>
        <w:tc>
          <w:tcPr>
            <w:tcW w:w="1273" w:type="dxa"/>
            <w:hideMark/>
          </w:tcPr>
          <w:p w14:paraId="6EE573A5" w14:textId="77777777" w:rsidR="00CD6BB4" w:rsidRPr="00074369" w:rsidRDefault="00CD6BB4" w:rsidP="007C15C8">
            <w:pPr>
              <w:spacing w:after="0" w:line="240" w:lineRule="auto"/>
              <w:jc w:val="right"/>
              <w:textAlignment w:val="top"/>
              <w:rPr>
                <w:szCs w:val="20"/>
              </w:rPr>
            </w:pPr>
            <w:r w:rsidRPr="00074369">
              <w:rPr>
                <w:kern w:val="24"/>
                <w:szCs w:val="20"/>
              </w:rPr>
              <w:t>-0.007</w:t>
            </w:r>
            <w:r w:rsidRPr="00074369">
              <w:rPr>
                <w:rFonts w:cstheme="minorHAnsi"/>
                <w:kern w:val="24"/>
                <w:szCs w:val="20"/>
              </w:rPr>
              <w:t> </w:t>
            </w:r>
            <w:r w:rsidRPr="00074369">
              <w:rPr>
                <w:rFonts w:cstheme="minorHAnsi"/>
                <w:kern w:val="24"/>
                <w:position w:val="7"/>
                <w:szCs w:val="20"/>
                <w:vertAlign w:val="superscript"/>
              </w:rPr>
              <w:t>**</w:t>
            </w:r>
          </w:p>
        </w:tc>
        <w:tc>
          <w:tcPr>
            <w:tcW w:w="1273" w:type="dxa"/>
            <w:hideMark/>
          </w:tcPr>
          <w:p w14:paraId="739276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007</w:t>
            </w:r>
            <w:r w:rsidRPr="00074369">
              <w:rPr>
                <w:rFonts w:cstheme="minorHAnsi"/>
                <w:kern w:val="24"/>
                <w:position w:val="7"/>
                <w:szCs w:val="20"/>
                <w:vertAlign w:val="superscript"/>
              </w:rPr>
              <w:t>**</w:t>
            </w:r>
          </w:p>
        </w:tc>
        <w:tc>
          <w:tcPr>
            <w:tcW w:w="1058" w:type="dxa"/>
            <w:hideMark/>
          </w:tcPr>
          <w:p w14:paraId="54CAAD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r>
      <w:tr w:rsidR="00CD6BB4" w:rsidRPr="00074369" w14:paraId="03522499" w14:textId="77777777" w:rsidTr="007C15C8">
        <w:trPr>
          <w:trHeight w:val="20"/>
        </w:trPr>
        <w:tc>
          <w:tcPr>
            <w:tcW w:w="1838" w:type="dxa"/>
            <w:hideMark/>
          </w:tcPr>
          <w:p w14:paraId="559E7B63" w14:textId="77777777" w:rsidR="00CD6BB4" w:rsidRPr="00074369" w:rsidRDefault="00CD6BB4" w:rsidP="007C15C8">
            <w:pPr>
              <w:spacing w:after="0" w:line="240" w:lineRule="auto"/>
              <w:jc w:val="left"/>
              <w:textAlignment w:val="top"/>
              <w:rPr>
                <w:szCs w:val="20"/>
              </w:rPr>
            </w:pPr>
            <w:r w:rsidRPr="00074369">
              <w:rPr>
                <w:kern w:val="24"/>
                <w:szCs w:val="20"/>
              </w:rPr>
              <w:t>MECANICO</w:t>
            </w:r>
          </w:p>
        </w:tc>
        <w:tc>
          <w:tcPr>
            <w:tcW w:w="1372" w:type="dxa"/>
            <w:hideMark/>
          </w:tcPr>
          <w:p w14:paraId="3BF05FB4"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074</w:t>
            </w:r>
          </w:p>
        </w:tc>
        <w:tc>
          <w:tcPr>
            <w:tcW w:w="1833" w:type="dxa"/>
            <w:hideMark/>
          </w:tcPr>
          <w:p w14:paraId="0F9454F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074 (0.048)</w:t>
            </w:r>
          </w:p>
        </w:tc>
        <w:tc>
          <w:tcPr>
            <w:tcW w:w="1273" w:type="dxa"/>
            <w:hideMark/>
          </w:tcPr>
          <w:p w14:paraId="488C094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079</w:t>
            </w:r>
          </w:p>
        </w:tc>
        <w:tc>
          <w:tcPr>
            <w:tcW w:w="1273" w:type="dxa"/>
            <w:hideMark/>
          </w:tcPr>
          <w:p w14:paraId="3F4DC80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074</w:t>
            </w:r>
          </w:p>
        </w:tc>
        <w:tc>
          <w:tcPr>
            <w:tcW w:w="1058" w:type="dxa"/>
            <w:hideMark/>
          </w:tcPr>
          <w:p w14:paraId="2600AF4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152</w:t>
            </w:r>
          </w:p>
        </w:tc>
      </w:tr>
      <w:tr w:rsidR="00CD6BB4" w:rsidRPr="00074369" w14:paraId="37082307" w14:textId="77777777" w:rsidTr="007C15C8">
        <w:trPr>
          <w:trHeight w:val="20"/>
        </w:trPr>
        <w:tc>
          <w:tcPr>
            <w:tcW w:w="1838" w:type="dxa"/>
            <w:hideMark/>
          </w:tcPr>
          <w:p w14:paraId="0152AC38" w14:textId="77777777" w:rsidR="00CD6BB4" w:rsidRPr="00074369" w:rsidRDefault="00CD6BB4" w:rsidP="007C15C8">
            <w:pPr>
              <w:spacing w:after="0" w:line="240" w:lineRule="auto"/>
              <w:jc w:val="left"/>
              <w:textAlignment w:val="top"/>
              <w:rPr>
                <w:szCs w:val="20"/>
              </w:rPr>
            </w:pPr>
            <w:r w:rsidRPr="00074369">
              <w:rPr>
                <w:kern w:val="24"/>
                <w:szCs w:val="20"/>
              </w:rPr>
              <w:t>LAVADO</w:t>
            </w:r>
          </w:p>
        </w:tc>
        <w:tc>
          <w:tcPr>
            <w:tcW w:w="1372" w:type="dxa"/>
            <w:hideMark/>
          </w:tcPr>
          <w:p w14:paraId="5BA5A16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066</w:t>
            </w:r>
          </w:p>
        </w:tc>
        <w:tc>
          <w:tcPr>
            <w:tcW w:w="1833" w:type="dxa"/>
            <w:hideMark/>
          </w:tcPr>
          <w:p w14:paraId="7C2D108C"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063 (0.056)</w:t>
            </w:r>
          </w:p>
        </w:tc>
        <w:tc>
          <w:tcPr>
            <w:tcW w:w="1273" w:type="dxa"/>
            <w:hideMark/>
          </w:tcPr>
          <w:p w14:paraId="67E0C3C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066</w:t>
            </w:r>
          </w:p>
        </w:tc>
        <w:tc>
          <w:tcPr>
            <w:tcW w:w="1273" w:type="dxa"/>
            <w:hideMark/>
          </w:tcPr>
          <w:p w14:paraId="34C4232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062</w:t>
            </w:r>
          </w:p>
        </w:tc>
        <w:tc>
          <w:tcPr>
            <w:tcW w:w="1058" w:type="dxa"/>
            <w:hideMark/>
          </w:tcPr>
          <w:p w14:paraId="63866CC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128</w:t>
            </w:r>
          </w:p>
        </w:tc>
      </w:tr>
      <w:tr w:rsidR="00CD6BB4" w:rsidRPr="00074369" w14:paraId="4759A3C1" w14:textId="77777777" w:rsidTr="007C15C8">
        <w:trPr>
          <w:trHeight w:val="20"/>
        </w:trPr>
        <w:tc>
          <w:tcPr>
            <w:tcW w:w="1838" w:type="dxa"/>
            <w:hideMark/>
          </w:tcPr>
          <w:p w14:paraId="4E348C5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FA07A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0.073</w:t>
            </w:r>
          </w:p>
        </w:tc>
        <w:tc>
          <w:tcPr>
            <w:tcW w:w="1833" w:type="dxa"/>
            <w:hideMark/>
          </w:tcPr>
          <w:p w14:paraId="230393A4" w14:textId="77777777" w:rsidR="00CD6BB4" w:rsidRPr="00074369" w:rsidRDefault="00CD6BB4" w:rsidP="007C15C8">
            <w:pPr>
              <w:spacing w:after="0" w:line="240" w:lineRule="auto"/>
              <w:jc w:val="right"/>
              <w:textAlignment w:val="top"/>
              <w:rPr>
                <w:rFonts w:cstheme="minorHAnsi"/>
                <w:szCs w:val="20"/>
              </w:rPr>
            </w:pPr>
            <w:r w:rsidRPr="00074369">
              <w:rPr>
                <w:rFonts w:eastAsiaTheme="minorEastAsia" w:cstheme="minorHAnsi"/>
                <w:kern w:val="24"/>
                <w:szCs w:val="20"/>
              </w:rPr>
              <w:t>0.074</w:t>
            </w:r>
            <w:r w:rsidRPr="00074369">
              <w:rPr>
                <w:rFonts w:eastAsiaTheme="minorEastAsia" w:cstheme="minorHAnsi"/>
                <w:kern w:val="24"/>
                <w:szCs w:val="20"/>
                <w:vertAlign w:val="superscript"/>
              </w:rPr>
              <w:t>*</w:t>
            </w:r>
            <w:r w:rsidRPr="00074369">
              <w:rPr>
                <w:rFonts w:eastAsiaTheme="minorEastAsia" w:cstheme="minorHAnsi"/>
                <w:kern w:val="24"/>
                <w:szCs w:val="20"/>
              </w:rPr>
              <w:t> (0.040)</w:t>
            </w:r>
          </w:p>
        </w:tc>
        <w:tc>
          <w:tcPr>
            <w:tcW w:w="1273" w:type="dxa"/>
            <w:hideMark/>
          </w:tcPr>
          <w:p w14:paraId="5B43C07C"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0.078 </w:t>
            </w:r>
            <w:r w:rsidRPr="00074369">
              <w:rPr>
                <w:rFonts w:cstheme="minorHAnsi"/>
                <w:kern w:val="24"/>
                <w:position w:val="7"/>
                <w:szCs w:val="20"/>
                <w:vertAlign w:val="superscript"/>
              </w:rPr>
              <w:t>*</w:t>
            </w:r>
          </w:p>
        </w:tc>
        <w:tc>
          <w:tcPr>
            <w:tcW w:w="1273" w:type="dxa"/>
            <w:hideMark/>
          </w:tcPr>
          <w:p w14:paraId="513C40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0.073</w:t>
            </w:r>
            <w:r w:rsidRPr="00074369">
              <w:rPr>
                <w:rFonts w:cstheme="minorHAnsi"/>
                <w:kern w:val="24"/>
                <w:position w:val="7"/>
                <w:szCs w:val="20"/>
                <w:vertAlign w:val="superscript"/>
              </w:rPr>
              <w:t>*</w:t>
            </w:r>
          </w:p>
        </w:tc>
        <w:tc>
          <w:tcPr>
            <w:tcW w:w="1058" w:type="dxa"/>
            <w:hideMark/>
          </w:tcPr>
          <w:p w14:paraId="0F944CF9"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0.151 </w:t>
            </w:r>
            <w:r w:rsidRPr="00074369">
              <w:rPr>
                <w:rFonts w:cstheme="minorHAnsi"/>
                <w:kern w:val="24"/>
                <w:position w:val="7"/>
                <w:szCs w:val="20"/>
                <w:vertAlign w:val="superscript"/>
              </w:rPr>
              <w:t>*</w:t>
            </w:r>
          </w:p>
        </w:tc>
      </w:tr>
      <w:tr w:rsidR="00CD6BB4" w:rsidRPr="00074369" w14:paraId="00D73A30" w14:textId="77777777" w:rsidTr="007C15C8">
        <w:trPr>
          <w:trHeight w:val="20"/>
        </w:trPr>
        <w:tc>
          <w:tcPr>
            <w:tcW w:w="1838" w:type="dxa"/>
            <w:hideMark/>
          </w:tcPr>
          <w:p w14:paraId="54EBFEE6"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GNV</w:t>
            </w:r>
          </w:p>
        </w:tc>
        <w:tc>
          <w:tcPr>
            <w:tcW w:w="1372" w:type="dxa"/>
            <w:hideMark/>
          </w:tcPr>
          <w:p w14:paraId="7C9EAAF2"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074</w:t>
            </w:r>
          </w:p>
        </w:tc>
        <w:tc>
          <w:tcPr>
            <w:tcW w:w="1833" w:type="dxa"/>
            <w:hideMark/>
          </w:tcPr>
          <w:p w14:paraId="6E110D9B"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086</w:t>
            </w:r>
            <w:r w:rsidRPr="00074369">
              <w:rPr>
                <w:rFonts w:eastAsiaTheme="minorEastAsia" w:cstheme="minorHAnsi"/>
                <w:kern w:val="24"/>
                <w:szCs w:val="20"/>
                <w:vertAlign w:val="superscript"/>
              </w:rPr>
              <w:t>**</w:t>
            </w:r>
            <w:r w:rsidRPr="00074369">
              <w:rPr>
                <w:rFonts w:eastAsiaTheme="minorEastAsia" w:cstheme="minorHAnsi"/>
                <w:kern w:val="24"/>
                <w:szCs w:val="20"/>
              </w:rPr>
              <w:t> (0.041)</w:t>
            </w:r>
          </w:p>
        </w:tc>
        <w:tc>
          <w:tcPr>
            <w:tcW w:w="1273" w:type="dxa"/>
            <w:hideMark/>
          </w:tcPr>
          <w:p w14:paraId="1F43F1B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091 </w:t>
            </w:r>
            <w:r w:rsidRPr="00074369">
              <w:rPr>
                <w:kern w:val="24"/>
                <w:position w:val="7"/>
                <w:szCs w:val="20"/>
                <w:vertAlign w:val="superscript"/>
              </w:rPr>
              <w:t>**</w:t>
            </w:r>
          </w:p>
        </w:tc>
        <w:tc>
          <w:tcPr>
            <w:tcW w:w="1273" w:type="dxa"/>
            <w:hideMark/>
          </w:tcPr>
          <w:p w14:paraId="0C9CBD7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085</w:t>
            </w:r>
            <w:r w:rsidRPr="00074369">
              <w:rPr>
                <w:rFonts w:cstheme="minorHAnsi"/>
                <w:kern w:val="24"/>
                <w:position w:val="7"/>
                <w:szCs w:val="20"/>
                <w:vertAlign w:val="superscript"/>
              </w:rPr>
              <w:t>*</w:t>
            </w:r>
          </w:p>
        </w:tc>
        <w:tc>
          <w:tcPr>
            <w:tcW w:w="1058" w:type="dxa"/>
            <w:hideMark/>
          </w:tcPr>
          <w:p w14:paraId="741C683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177 </w:t>
            </w:r>
            <w:r w:rsidRPr="00074369">
              <w:rPr>
                <w:rFonts w:cstheme="minorHAnsi"/>
                <w:kern w:val="24"/>
                <w:position w:val="7"/>
                <w:szCs w:val="20"/>
                <w:vertAlign w:val="superscript"/>
              </w:rPr>
              <w:t>**</w:t>
            </w:r>
          </w:p>
        </w:tc>
      </w:tr>
      <w:tr w:rsidR="00CD6BB4" w:rsidRPr="00074369" w14:paraId="5622E8CD" w14:textId="77777777" w:rsidTr="007C15C8">
        <w:trPr>
          <w:trHeight w:val="20"/>
        </w:trPr>
        <w:tc>
          <w:tcPr>
            <w:tcW w:w="1838" w:type="dxa"/>
            <w:hideMark/>
          </w:tcPr>
          <w:p w14:paraId="5BDFF111" w14:textId="77777777" w:rsidR="00CD6BB4" w:rsidRPr="00074369" w:rsidRDefault="00CD6BB4" w:rsidP="007C15C8">
            <w:pPr>
              <w:spacing w:after="0" w:line="240" w:lineRule="auto"/>
              <w:jc w:val="left"/>
              <w:textAlignment w:val="top"/>
              <w:rPr>
                <w:szCs w:val="20"/>
              </w:rPr>
            </w:pPr>
            <w:r w:rsidRPr="00074369">
              <w:rPr>
                <w:kern w:val="24"/>
                <w:szCs w:val="20"/>
              </w:rPr>
              <w:t>GLP</w:t>
            </w:r>
          </w:p>
        </w:tc>
        <w:tc>
          <w:tcPr>
            <w:tcW w:w="1372" w:type="dxa"/>
            <w:hideMark/>
          </w:tcPr>
          <w:p w14:paraId="39300AC5"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833" w:type="dxa"/>
            <w:hideMark/>
          </w:tcPr>
          <w:p w14:paraId="0319F499"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013 (0.040)</w:t>
            </w:r>
          </w:p>
        </w:tc>
        <w:tc>
          <w:tcPr>
            <w:tcW w:w="1273" w:type="dxa"/>
            <w:hideMark/>
          </w:tcPr>
          <w:p w14:paraId="15C93A9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014</w:t>
            </w:r>
          </w:p>
        </w:tc>
        <w:tc>
          <w:tcPr>
            <w:tcW w:w="1273" w:type="dxa"/>
            <w:hideMark/>
          </w:tcPr>
          <w:p w14:paraId="63D8B43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013</w:t>
            </w:r>
          </w:p>
        </w:tc>
        <w:tc>
          <w:tcPr>
            <w:tcW w:w="1058" w:type="dxa"/>
            <w:hideMark/>
          </w:tcPr>
          <w:p w14:paraId="0B8706F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026</w:t>
            </w:r>
          </w:p>
        </w:tc>
      </w:tr>
      <w:tr w:rsidR="00CD6BB4" w:rsidRPr="00074369" w14:paraId="59FE81CD" w14:textId="77777777" w:rsidTr="007C15C8">
        <w:trPr>
          <w:trHeight w:val="20"/>
        </w:trPr>
        <w:tc>
          <w:tcPr>
            <w:tcW w:w="1838" w:type="dxa"/>
            <w:hideMark/>
          </w:tcPr>
          <w:p w14:paraId="1449EDB9" w14:textId="77777777" w:rsidR="00CD6BB4" w:rsidRPr="00074369" w:rsidRDefault="00CD6BB4" w:rsidP="007C15C8">
            <w:pPr>
              <w:spacing w:after="0" w:line="240" w:lineRule="auto"/>
              <w:jc w:val="left"/>
              <w:textAlignment w:val="top"/>
              <w:rPr>
                <w:szCs w:val="20"/>
              </w:rPr>
            </w:pPr>
            <w:r w:rsidRPr="00074369">
              <w:rPr>
                <w:kern w:val="24"/>
                <w:szCs w:val="20"/>
              </w:rPr>
              <w:t>INGRESO</w:t>
            </w:r>
          </w:p>
        </w:tc>
        <w:tc>
          <w:tcPr>
            <w:tcW w:w="1372" w:type="dxa"/>
            <w:hideMark/>
          </w:tcPr>
          <w:p w14:paraId="73317F3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1.167 </w:t>
            </w:r>
            <w:r w:rsidRPr="00074369">
              <w:rPr>
                <w:rFonts w:cstheme="minorHAnsi"/>
                <w:kern w:val="24"/>
                <w:position w:val="7"/>
                <w:szCs w:val="20"/>
                <w:vertAlign w:val="superscript"/>
              </w:rPr>
              <w:t>***</w:t>
            </w:r>
          </w:p>
        </w:tc>
        <w:tc>
          <w:tcPr>
            <w:tcW w:w="1833" w:type="dxa"/>
            <w:hideMark/>
          </w:tcPr>
          <w:p w14:paraId="4CEB275E"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549</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(0.143)</w:t>
            </w:r>
          </w:p>
        </w:tc>
        <w:tc>
          <w:tcPr>
            <w:tcW w:w="1273" w:type="dxa"/>
            <w:hideMark/>
          </w:tcPr>
          <w:p w14:paraId="745223AD"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582 </w:t>
            </w:r>
            <w:r w:rsidRPr="00074369">
              <w:rPr>
                <w:kern w:val="24"/>
                <w:position w:val="7"/>
                <w:szCs w:val="20"/>
                <w:vertAlign w:val="superscript"/>
              </w:rPr>
              <w:t>***</w:t>
            </w:r>
          </w:p>
        </w:tc>
        <w:tc>
          <w:tcPr>
            <w:tcW w:w="1273" w:type="dxa"/>
            <w:hideMark/>
          </w:tcPr>
          <w:p w14:paraId="0E2F9E9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544</w:t>
            </w:r>
            <w:r w:rsidRPr="00074369">
              <w:rPr>
                <w:kern w:val="24"/>
                <w:position w:val="7"/>
                <w:szCs w:val="20"/>
                <w:vertAlign w:val="superscript"/>
              </w:rPr>
              <w:t>***</w:t>
            </w:r>
          </w:p>
        </w:tc>
        <w:tc>
          <w:tcPr>
            <w:tcW w:w="1058" w:type="dxa"/>
            <w:hideMark/>
          </w:tcPr>
          <w:p w14:paraId="53E381FC"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1.126 </w:t>
            </w:r>
            <w:r w:rsidRPr="00074369">
              <w:rPr>
                <w:rFonts w:cstheme="minorHAnsi"/>
                <w:kern w:val="24"/>
                <w:position w:val="7"/>
                <w:szCs w:val="20"/>
                <w:vertAlign w:val="superscript"/>
              </w:rPr>
              <w:t>***</w:t>
            </w:r>
          </w:p>
        </w:tc>
      </w:tr>
      <w:tr w:rsidR="00CD6BB4" w:rsidRPr="00074369" w14:paraId="5724A3EA" w14:textId="77777777" w:rsidTr="007C15C8">
        <w:trPr>
          <w:trHeight w:val="20"/>
        </w:trPr>
        <w:tc>
          <w:tcPr>
            <w:tcW w:w="1838" w:type="dxa"/>
            <w:hideMark/>
          </w:tcPr>
          <w:p w14:paraId="13C68CD6" w14:textId="77777777" w:rsidR="00CD6BB4" w:rsidRPr="00074369" w:rsidRDefault="00CD6BB4" w:rsidP="007C15C8">
            <w:pPr>
              <w:spacing w:after="0" w:line="240" w:lineRule="auto"/>
              <w:jc w:val="left"/>
              <w:textAlignment w:val="top"/>
              <w:rPr>
                <w:szCs w:val="20"/>
              </w:rPr>
            </w:pPr>
            <w:r w:rsidRPr="00074369">
              <w:rPr>
                <w:kern w:val="24"/>
                <w:szCs w:val="20"/>
              </w:rPr>
              <w:t>DENPOB</w:t>
            </w:r>
          </w:p>
        </w:tc>
        <w:tc>
          <w:tcPr>
            <w:tcW w:w="1372" w:type="dxa"/>
            <w:hideMark/>
          </w:tcPr>
          <w:p w14:paraId="4315AEC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065 </w:t>
            </w:r>
            <w:r w:rsidRPr="00074369">
              <w:rPr>
                <w:rFonts w:cstheme="minorHAnsi"/>
                <w:kern w:val="24"/>
                <w:position w:val="7"/>
                <w:szCs w:val="20"/>
                <w:vertAlign w:val="superscript"/>
              </w:rPr>
              <w:t>*</w:t>
            </w:r>
          </w:p>
        </w:tc>
        <w:tc>
          <w:tcPr>
            <w:tcW w:w="1833" w:type="dxa"/>
            <w:hideMark/>
          </w:tcPr>
          <w:p w14:paraId="31DEFB9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028 (0.034)</w:t>
            </w:r>
          </w:p>
        </w:tc>
        <w:tc>
          <w:tcPr>
            <w:tcW w:w="1273" w:type="dxa"/>
            <w:hideMark/>
          </w:tcPr>
          <w:p w14:paraId="5267580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w:t>
            </w:r>
          </w:p>
        </w:tc>
        <w:tc>
          <w:tcPr>
            <w:tcW w:w="1273" w:type="dxa"/>
            <w:hideMark/>
          </w:tcPr>
          <w:p w14:paraId="61A9D665"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058" w:type="dxa"/>
            <w:hideMark/>
          </w:tcPr>
          <w:p w14:paraId="4B92BB3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058</w:t>
            </w:r>
          </w:p>
        </w:tc>
      </w:tr>
      <w:tr w:rsidR="00CD6BB4" w:rsidRPr="00074369" w14:paraId="5D8A31E5" w14:textId="77777777" w:rsidTr="007C15C8">
        <w:trPr>
          <w:trHeight w:val="20"/>
        </w:trPr>
        <w:tc>
          <w:tcPr>
            <w:tcW w:w="1838" w:type="dxa"/>
            <w:hideMark/>
          </w:tcPr>
          <w:p w14:paraId="33B122A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LOGVIAJES</w:t>
            </w:r>
          </w:p>
        </w:tc>
        <w:tc>
          <w:tcPr>
            <w:tcW w:w="1372" w:type="dxa"/>
            <w:hideMark/>
          </w:tcPr>
          <w:p w14:paraId="2D8BF21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079 </w:t>
            </w:r>
            <w:r w:rsidRPr="00074369">
              <w:rPr>
                <w:rFonts w:cstheme="minorHAnsi"/>
                <w:kern w:val="24"/>
                <w:position w:val="7"/>
                <w:szCs w:val="20"/>
                <w:vertAlign w:val="superscript"/>
              </w:rPr>
              <w:t>**</w:t>
            </w:r>
          </w:p>
        </w:tc>
        <w:tc>
          <w:tcPr>
            <w:tcW w:w="1833" w:type="dxa"/>
            <w:hideMark/>
          </w:tcPr>
          <w:p w14:paraId="6CD2E20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0.044 (0.035)</w:t>
            </w:r>
          </w:p>
        </w:tc>
        <w:tc>
          <w:tcPr>
            <w:tcW w:w="1273" w:type="dxa"/>
            <w:hideMark/>
          </w:tcPr>
          <w:p w14:paraId="7136DF11"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0.047</w:t>
            </w:r>
          </w:p>
        </w:tc>
        <w:tc>
          <w:tcPr>
            <w:tcW w:w="1273" w:type="dxa"/>
            <w:hideMark/>
          </w:tcPr>
          <w:p w14:paraId="611880F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0.044</w:t>
            </w:r>
          </w:p>
        </w:tc>
        <w:tc>
          <w:tcPr>
            <w:tcW w:w="1058" w:type="dxa"/>
            <w:hideMark/>
          </w:tcPr>
          <w:p w14:paraId="041966D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0.09</w:t>
            </w:r>
          </w:p>
        </w:tc>
      </w:tr>
      <w:tr w:rsidR="00CD6BB4" w:rsidRPr="00074369" w14:paraId="2AAC798F" w14:textId="77777777" w:rsidTr="007C15C8">
        <w:trPr>
          <w:trHeight w:val="20"/>
        </w:trPr>
        <w:tc>
          <w:tcPr>
            <w:tcW w:w="1838" w:type="dxa"/>
            <w:hideMark/>
          </w:tcPr>
          <w:p w14:paraId="19A91375" w14:textId="77777777" w:rsidR="00CD6BB4" w:rsidRPr="00074369" w:rsidRDefault="00CD6BB4" w:rsidP="007C15C8">
            <w:pPr>
              <w:spacing w:after="0" w:line="240" w:lineRule="auto"/>
              <w:jc w:val="left"/>
              <w:textAlignment w:val="top"/>
              <w:rPr>
                <w:szCs w:val="20"/>
              </w:rPr>
            </w:pPr>
            <m:oMathPara>
              <m:oMath>
                <m:r>
                  <w:rPr>
                    <w:rFonts w:ascii="Cambria Math" w:hAnsi="Cambria Math" w:cstheme="minorHAnsi"/>
                    <w:szCs w:val="20"/>
                  </w:rPr>
                  <m:t>ρ</m:t>
                </m:r>
              </m:oMath>
            </m:oMathPara>
          </w:p>
        </w:tc>
        <w:tc>
          <w:tcPr>
            <w:tcW w:w="1372" w:type="dxa"/>
            <w:hideMark/>
          </w:tcPr>
          <w:p w14:paraId="065C2D40"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p>
        </w:tc>
        <w:tc>
          <w:tcPr>
            <w:tcW w:w="1833" w:type="dxa"/>
            <w:hideMark/>
          </w:tcPr>
          <w:p w14:paraId="19409724"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0.512</w:t>
            </w:r>
            <w:r w:rsidRPr="00074369">
              <w:rPr>
                <w:rFonts w:cstheme="minorHAnsi"/>
                <w:kern w:val="24"/>
                <w:position w:val="7"/>
                <w:szCs w:val="20"/>
                <w:vertAlign w:val="superscript"/>
              </w:rPr>
              <w:t xml:space="preserve">*** </w:t>
            </w:r>
            <w:r w:rsidRPr="00074369">
              <w:rPr>
                <w:rFonts w:cstheme="minorHAnsi"/>
                <w:kern w:val="24"/>
                <w:szCs w:val="20"/>
              </w:rPr>
              <w:t> (0.051)</w:t>
            </w:r>
          </w:p>
        </w:tc>
        <w:tc>
          <w:tcPr>
            <w:tcW w:w="1273" w:type="dxa"/>
            <w:hideMark/>
          </w:tcPr>
          <w:p w14:paraId="5DF2FDF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273" w:type="dxa"/>
            <w:hideMark/>
          </w:tcPr>
          <w:p w14:paraId="4E05EE4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058" w:type="dxa"/>
            <w:hideMark/>
          </w:tcPr>
          <w:p w14:paraId="54931C2B"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r>
    </w:tbl>
    <w:p w14:paraId="35C037EB" w14:textId="26B70802" w:rsidR="00CD6BB4" w:rsidRDefault="00CD6BB4" w:rsidP="00CD6BB4">
      <w:pPr>
        <w:pStyle w:val="Fuente"/>
      </w:pPr>
      <w:r w:rsidRPr="00074369">
        <w:t>Fuente: Elaboración propia, 2019</w:t>
      </w:r>
    </w:p>
    <w:p w14:paraId="368478F5" w14:textId="0B9355F5" w:rsidR="00074369" w:rsidRPr="00074369" w:rsidRDefault="00074369" w:rsidP="00074369">
      <w:r w:rsidRPr="00074369">
        <w:t>El ponderador e</w:t>
      </w:r>
      <w:r w:rsidR="00A95084">
        <w:t>spacial de la variable espacial</w:t>
      </w:r>
      <w:r w:rsidRPr="00074369">
        <w:t xml:space="preserve"> </w:t>
      </w:r>
      <m:oMath>
        <m:r>
          <w:rPr>
            <w:rFonts w:ascii="Cambria Math" w:hAnsi="Cambria Math"/>
          </w:rPr>
          <m:t>ρ</m:t>
        </m:r>
      </m:oMath>
      <w:r w:rsidRPr="00074369">
        <w:t xml:space="preserve"> </w:t>
      </w:r>
      <w:r w:rsidR="007F54E5">
        <w:t xml:space="preserve">es significativo </w:t>
      </w:r>
      <w:r w:rsidR="00A95084">
        <w:t xml:space="preserve">e igual a 0.512, </w:t>
      </w:r>
      <w:r w:rsidRPr="00074369">
        <w:t xml:space="preserve">lo que sugiere que las estaciones toman en cuenta el comportamiento de sus vecinas al tomar sus decisiones de precios. Las variables asociadas con la marca de las estaciones conducen a mayores precios de manera significativa, al menos para los consideradas como de mayor valor (Primax y Repsol). El </w:t>
      </w:r>
      <w:r w:rsidRPr="00074369">
        <w:lastRenderedPageBreak/>
        <w:t xml:space="preserve">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sidRPr="00074369">
        <w:rPr>
          <w:i/>
        </w:rPr>
        <w:t>branding</w:t>
      </w:r>
      <w:r w:rsidRPr="00074369">
        <w:t xml:space="preserve">, coincide con el reportado por Hastings </w:t>
      </w:r>
      <w:r w:rsidRPr="00074369">
        <w:fldChar w:fldCharType="begin"/>
      </w:r>
      <w:r w:rsidR="00D32568">
        <w:instrText xml:space="preserve"> ADDIN ZOTERO_ITEM CSL_CITATION {"citationID":"swQNEoEh","properties":{"formattedCitation":"(2004)","plainCitation":"(2004)","noteIndex":0},"citationItems":[{"id":685,"uris":["http://zotero.org/groups/2269288/items/R4UZQ3CV"],"uri":["http://zotero.org/groups/2269288/items/R4UZQ3CV"],"itemData":{"id":685,"type":"article-journal","container-title":"The American Economic Review","ISSN":"0002-8282","issue":"1","note":"Citation Key: hastingsVerticalRelationshipsCompetition2004","page":"317-328","source":"JSTOR","title":"Vertical Relationships and Competition in Retail Gasoline Markets: Empirical Evidence from Contract Changes in Southern California","title-short":"Vertical Relationships and Competition in Retail Gasoline Markets","volume":"94","author":[{"family":"Hastings","given":"Justine S."}],"issued":{"date-parts":[["2004"]]}},"suppress-author":true}],"schema":"https://github.com/citation-style-language/schema/raw/master/csl-citation.json"} </w:instrText>
      </w:r>
      <w:r w:rsidRPr="00074369">
        <w:fldChar w:fldCharType="separate"/>
      </w:r>
      <w:r w:rsidR="00D32568" w:rsidRPr="00D32568">
        <w:rPr>
          <w:rFonts w:ascii="Times New Roman" w:hAnsi="Times New Roman"/>
        </w:rPr>
        <w:t>(2004)</w:t>
      </w:r>
      <w:r w:rsidRPr="00074369">
        <w:fldChar w:fldCharType="end"/>
      </w:r>
      <w:r w:rsidRPr="00074369">
        <w:t xml:space="preserve"> y </w:t>
      </w:r>
      <w:proofErr w:type="spellStart"/>
      <w:r w:rsidRPr="00074369">
        <w:t>Hogg</w:t>
      </w:r>
      <w:proofErr w:type="spellEnd"/>
      <w:r w:rsidRPr="00074369">
        <w:t xml:space="preserve"> et al. </w:t>
      </w:r>
      <w:r w:rsidRPr="00074369">
        <w:fldChar w:fldCharType="begin"/>
      </w:r>
      <w:r w:rsidR="006F6D84">
        <w:instrText xml:space="preserve"> ADDIN ZOTERO_ITEM CSL_CITATION {"citationID":"tHyIRJim","properties":{"formattedCitation":"(2012)","plainCitation":"(2012)","noteIndex":0},"citationItems":[{"id":637,"uris":["http://zotero.org/groups/2269288/items/79Z2DJ3L"],"uri":["http://zotero.org/groups/2269288/items/79Z2DJ3L"],"itemData":{"id":637,"type":"report","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occur.","collection-title":"NCER Working Paper Series","language":"en","note":"Citation Key: hoggSpatialEconometricAnalysis2012","number":"86","publisher":"National Centre for Econometric Research","source":"Zotero","title":"A Spatial Econometric Analysis of the Eﬀect of Vertical Restraints and Branding on Retail Gasoline Pricing","author":[{"family":"Hogg","given":"Stephen"},{"family":"Hurn","given":"Stan"},{"family":"McDonald","given":"Stuart"},{"family":"Rambaldi","given":"Alicia"}],"issued":{"date-parts":[["2012"]]}},"suppress-author":true}],"schema":"https://github.com/citation-style-language/schema/raw/master/csl-citation.json"} </w:instrText>
      </w:r>
      <w:r w:rsidRPr="00074369">
        <w:fldChar w:fldCharType="separate"/>
      </w:r>
      <w:r w:rsidR="00355C59" w:rsidRPr="00355C59">
        <w:rPr>
          <w:rFonts w:ascii="Times New Roman" w:hAnsi="Times New Roman"/>
        </w:rPr>
        <w:t>(2012)</w:t>
      </w:r>
      <w:r w:rsidRPr="00074369">
        <w:fldChar w:fldCharType="end"/>
      </w:r>
      <w:r w:rsidRPr="00074369">
        <w:t xml:space="preserve">. </w:t>
      </w:r>
    </w:p>
    <w:p w14:paraId="2A2E0B76" w14:textId="7AB1B396" w:rsidR="00CD6BB4" w:rsidRPr="00074369" w:rsidRDefault="00CD6BB4" w:rsidP="00CD6BB4">
      <w:pPr>
        <w:pStyle w:val="Descripcin"/>
      </w:pPr>
      <w:bookmarkStart w:id="218" w:name="_Ref9168201"/>
      <w:bookmarkStart w:id="219" w:name="_Toc9171804"/>
      <w:r w:rsidRPr="00074369">
        <w:t xml:space="preserve">Tabla </w:t>
      </w:r>
      <w:r w:rsidRPr="00074369">
        <w:fldChar w:fldCharType="begin"/>
      </w:r>
      <w:r w:rsidRPr="00074369">
        <w:instrText xml:space="preserve"> SEQ Tabla \* ARABIC </w:instrText>
      </w:r>
      <w:r w:rsidRPr="00074369">
        <w:fldChar w:fldCharType="separate"/>
      </w:r>
      <w:r w:rsidR="004C0429">
        <w:rPr>
          <w:noProof/>
        </w:rPr>
        <w:t>15</w:t>
      </w:r>
      <w:r w:rsidRPr="00074369">
        <w:fldChar w:fldCharType="end"/>
      </w:r>
      <w:bookmarkEnd w:id="218"/>
      <w:r w:rsidRPr="00074369">
        <w:t xml:space="preserve">: Resultados del modelo </w:t>
      </w:r>
      <w:proofErr w:type="spellStart"/>
      <w:r w:rsidRPr="00074369">
        <w:t>autoregresivo</w:t>
      </w:r>
      <w:proofErr w:type="spellEnd"/>
      <w:r w:rsidRPr="00074369">
        <w:t xml:space="preserve"> espacial y sus impactos para combustible </w:t>
      </w:r>
      <w:proofErr w:type="spellStart"/>
      <w:r w:rsidRPr="00074369">
        <w:t>gasohol</w:t>
      </w:r>
      <w:proofErr w:type="spellEnd"/>
      <w:r w:rsidRPr="00074369">
        <w:t xml:space="preserve"> en Marzo – 2018.</w:t>
      </w:r>
      <w:bookmarkEnd w:id="219"/>
    </w:p>
    <w:tbl>
      <w:tblPr>
        <w:tblStyle w:val="tesis"/>
        <w:tblW w:w="8647" w:type="dxa"/>
        <w:tblLook w:val="0600" w:firstRow="0" w:lastRow="0" w:firstColumn="0" w:lastColumn="0" w:noHBand="1" w:noVBand="1"/>
      </w:tblPr>
      <w:tblGrid>
        <w:gridCol w:w="1838"/>
        <w:gridCol w:w="1372"/>
        <w:gridCol w:w="1833"/>
        <w:gridCol w:w="1273"/>
        <w:gridCol w:w="1273"/>
        <w:gridCol w:w="1058"/>
      </w:tblGrid>
      <w:tr w:rsidR="00CD6BB4" w:rsidRPr="00074369" w14:paraId="064D9719" w14:textId="77777777" w:rsidTr="007C15C8">
        <w:trPr>
          <w:trHeight w:val="364"/>
        </w:trPr>
        <w:tc>
          <w:tcPr>
            <w:tcW w:w="1838" w:type="dxa"/>
            <w:tcBorders>
              <w:top w:val="single" w:sz="12" w:space="0" w:color="auto"/>
            </w:tcBorders>
            <w:hideMark/>
          </w:tcPr>
          <w:p w14:paraId="437A8695" w14:textId="77777777" w:rsidR="00CD6BB4" w:rsidRPr="00074369" w:rsidRDefault="00CD6BB4" w:rsidP="007C15C8">
            <w:pPr>
              <w:spacing w:after="0" w:line="240" w:lineRule="auto"/>
              <w:jc w:val="left"/>
              <w:rPr>
                <w:rFonts w:asciiTheme="majorHAnsi" w:hAnsiTheme="majorHAnsi" w:cstheme="majorHAnsi"/>
                <w:szCs w:val="20"/>
              </w:rPr>
            </w:pPr>
          </w:p>
        </w:tc>
        <w:tc>
          <w:tcPr>
            <w:tcW w:w="1372" w:type="dxa"/>
            <w:tcBorders>
              <w:top w:val="single" w:sz="12" w:space="0" w:color="auto"/>
            </w:tcBorders>
            <w:hideMark/>
          </w:tcPr>
          <w:p w14:paraId="4E89DE5D" w14:textId="77777777" w:rsidR="00CD6BB4" w:rsidRPr="00074369" w:rsidRDefault="00CD6BB4" w:rsidP="007C15C8">
            <w:pPr>
              <w:spacing w:after="0" w:line="240" w:lineRule="auto"/>
              <w:jc w:val="left"/>
              <w:textAlignment w:val="bottom"/>
              <w:rPr>
                <w:rFonts w:asciiTheme="majorHAnsi" w:hAnsiTheme="majorHAnsi" w:cs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A2486A1" w14:textId="77777777" w:rsidR="00CD6BB4" w:rsidRPr="00074369" w:rsidRDefault="00CD6BB4" w:rsidP="007C15C8">
            <w:pPr>
              <w:spacing w:after="0" w:line="240" w:lineRule="auto"/>
              <w:jc w:val="center"/>
              <w:textAlignment w:val="bottom"/>
              <w:rPr>
                <w:rFonts w:asciiTheme="majorHAnsi" w:hAnsiTheme="majorHAnsi" w:cstheme="majorHAnsi"/>
                <w:szCs w:val="20"/>
              </w:rPr>
            </w:pPr>
            <w:r w:rsidRPr="00074369">
              <w:rPr>
                <w:rFonts w:asciiTheme="majorHAnsi" w:hAnsiTheme="majorHAnsi" w:cstheme="majorHAnsi"/>
                <w:b/>
                <w:bCs/>
                <w:kern w:val="24"/>
                <w:szCs w:val="20"/>
              </w:rPr>
              <w:t xml:space="preserve">Modelo Espacial </w:t>
            </w:r>
            <w:proofErr w:type="spellStart"/>
            <w:r w:rsidRPr="00074369">
              <w:rPr>
                <w:rFonts w:asciiTheme="majorHAnsi" w:hAnsiTheme="majorHAnsi" w:cstheme="majorHAnsi"/>
                <w:b/>
                <w:bCs/>
                <w:kern w:val="24"/>
                <w:szCs w:val="20"/>
              </w:rPr>
              <w:t>Autoregresivo</w:t>
            </w:r>
            <w:proofErr w:type="spellEnd"/>
            <w:r w:rsidRPr="00074369">
              <w:rPr>
                <w:rFonts w:asciiTheme="majorHAnsi" w:hAnsiTheme="majorHAnsi" w:cstheme="majorHAnsi"/>
                <w:b/>
                <w:bCs/>
                <w:kern w:val="24"/>
                <w:szCs w:val="20"/>
              </w:rPr>
              <w:t xml:space="preserve"> (SAR)</w:t>
            </w:r>
          </w:p>
        </w:tc>
      </w:tr>
      <w:tr w:rsidR="00CD6BB4" w:rsidRPr="00074369" w14:paraId="032B8C10" w14:textId="77777777" w:rsidTr="007C15C8">
        <w:trPr>
          <w:trHeight w:val="20"/>
        </w:trPr>
        <w:tc>
          <w:tcPr>
            <w:tcW w:w="1838" w:type="dxa"/>
            <w:tcBorders>
              <w:bottom w:val="single" w:sz="4" w:space="0" w:color="auto"/>
            </w:tcBorders>
            <w:hideMark/>
          </w:tcPr>
          <w:p w14:paraId="69AA4DEE"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Variable</w:t>
            </w:r>
          </w:p>
        </w:tc>
        <w:tc>
          <w:tcPr>
            <w:tcW w:w="1372" w:type="dxa"/>
            <w:tcBorders>
              <w:bottom w:val="single" w:sz="4" w:space="0" w:color="auto"/>
            </w:tcBorders>
            <w:hideMark/>
          </w:tcPr>
          <w:p w14:paraId="457C97F9" w14:textId="77777777" w:rsidR="00CD6BB4" w:rsidRPr="00074369" w:rsidRDefault="00CD6BB4" w:rsidP="007C15C8">
            <w:pPr>
              <w:spacing w:after="0" w:line="240" w:lineRule="auto"/>
              <w:jc w:val="left"/>
              <w:rPr>
                <w:rFonts w:cstheme="minorHAnsi"/>
                <w:szCs w:val="20"/>
              </w:rPr>
            </w:pPr>
            <w:r w:rsidRPr="00074369">
              <w:rPr>
                <w:rFonts w:cstheme="minorHAnsi"/>
                <w:szCs w:val="20"/>
              </w:rPr>
              <w:t>Parámetros</w:t>
            </w:r>
          </w:p>
        </w:tc>
        <w:tc>
          <w:tcPr>
            <w:tcW w:w="1833" w:type="dxa"/>
            <w:tcBorders>
              <w:bottom w:val="single" w:sz="4" w:space="0" w:color="auto"/>
            </w:tcBorders>
            <w:hideMark/>
          </w:tcPr>
          <w:p w14:paraId="57DF169A"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Parámetros</w:t>
            </w:r>
          </w:p>
        </w:tc>
        <w:tc>
          <w:tcPr>
            <w:tcW w:w="1273" w:type="dxa"/>
            <w:tcBorders>
              <w:bottom w:val="single" w:sz="4" w:space="0" w:color="auto"/>
            </w:tcBorders>
            <w:hideMark/>
          </w:tcPr>
          <w:p w14:paraId="2473086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Directo</w:t>
            </w:r>
          </w:p>
        </w:tc>
        <w:tc>
          <w:tcPr>
            <w:tcW w:w="1273" w:type="dxa"/>
            <w:tcBorders>
              <w:bottom w:val="single" w:sz="4" w:space="0" w:color="auto"/>
            </w:tcBorders>
            <w:hideMark/>
          </w:tcPr>
          <w:p w14:paraId="6C165E4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Indirecto</w:t>
            </w:r>
          </w:p>
        </w:tc>
        <w:tc>
          <w:tcPr>
            <w:tcW w:w="1058" w:type="dxa"/>
            <w:tcBorders>
              <w:bottom w:val="single" w:sz="4" w:space="0" w:color="auto"/>
            </w:tcBorders>
            <w:hideMark/>
          </w:tcPr>
          <w:p w14:paraId="312C14ED"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Total</w:t>
            </w:r>
          </w:p>
        </w:tc>
      </w:tr>
      <w:tr w:rsidR="00CD6BB4" w:rsidRPr="00074369" w14:paraId="2D0E427C" w14:textId="77777777" w:rsidTr="007C15C8">
        <w:trPr>
          <w:trHeight w:val="20"/>
        </w:trPr>
        <w:tc>
          <w:tcPr>
            <w:tcW w:w="1838" w:type="dxa"/>
            <w:tcBorders>
              <w:top w:val="single" w:sz="4" w:space="0" w:color="auto"/>
            </w:tcBorders>
            <w:hideMark/>
          </w:tcPr>
          <w:p w14:paraId="38A8EBA0"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Petroperú</w:t>
            </w:r>
          </w:p>
        </w:tc>
        <w:tc>
          <w:tcPr>
            <w:tcW w:w="1372" w:type="dxa"/>
            <w:tcBorders>
              <w:top w:val="single" w:sz="4" w:space="0" w:color="auto"/>
            </w:tcBorders>
            <w:hideMark/>
          </w:tcPr>
          <w:p w14:paraId="43641A3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0.024</w:t>
            </w:r>
          </w:p>
        </w:tc>
        <w:tc>
          <w:tcPr>
            <w:tcW w:w="1833" w:type="dxa"/>
            <w:tcBorders>
              <w:top w:val="single" w:sz="4" w:space="0" w:color="auto"/>
            </w:tcBorders>
            <w:hideMark/>
          </w:tcPr>
          <w:p w14:paraId="724F811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(0.079)</w:t>
            </w:r>
          </w:p>
        </w:tc>
        <w:tc>
          <w:tcPr>
            <w:tcW w:w="1273" w:type="dxa"/>
            <w:tcBorders>
              <w:top w:val="single" w:sz="4" w:space="0" w:color="auto"/>
            </w:tcBorders>
            <w:hideMark/>
          </w:tcPr>
          <w:p w14:paraId="6F17E42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0.005</w:t>
            </w:r>
          </w:p>
        </w:tc>
        <w:tc>
          <w:tcPr>
            <w:tcW w:w="1273" w:type="dxa"/>
            <w:tcBorders>
              <w:top w:val="single" w:sz="4" w:space="0" w:color="auto"/>
            </w:tcBorders>
            <w:hideMark/>
          </w:tcPr>
          <w:p w14:paraId="0299CC1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w:t>
            </w:r>
          </w:p>
        </w:tc>
        <w:tc>
          <w:tcPr>
            <w:tcW w:w="1058" w:type="dxa"/>
            <w:tcBorders>
              <w:top w:val="single" w:sz="4" w:space="0" w:color="auto"/>
            </w:tcBorders>
            <w:hideMark/>
          </w:tcPr>
          <w:p w14:paraId="613799A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r>
      <w:tr w:rsidR="00CD6BB4" w:rsidRPr="00074369" w14:paraId="70D8C7BE" w14:textId="77777777" w:rsidTr="007C15C8">
        <w:trPr>
          <w:trHeight w:val="20"/>
        </w:trPr>
        <w:tc>
          <w:tcPr>
            <w:tcW w:w="1838" w:type="dxa"/>
            <w:hideMark/>
          </w:tcPr>
          <w:p w14:paraId="17195CFA"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Pecsa</w:t>
            </w:r>
          </w:p>
        </w:tc>
        <w:tc>
          <w:tcPr>
            <w:tcW w:w="1372" w:type="dxa"/>
            <w:hideMark/>
          </w:tcPr>
          <w:p w14:paraId="431092B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0.236 </w:t>
            </w:r>
            <w:r w:rsidRPr="00074369">
              <w:rPr>
                <w:rFonts w:cstheme="minorHAnsi"/>
                <w:szCs w:val="20"/>
                <w:vertAlign w:val="superscript"/>
              </w:rPr>
              <w:t>**</w:t>
            </w:r>
          </w:p>
        </w:tc>
        <w:tc>
          <w:tcPr>
            <w:tcW w:w="1833" w:type="dxa"/>
            <w:hideMark/>
          </w:tcPr>
          <w:p w14:paraId="6DD8B97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0.159</w:t>
            </w:r>
            <w:r w:rsidRPr="00074369">
              <w:rPr>
                <w:rFonts w:cstheme="minorHAnsi"/>
                <w:szCs w:val="20"/>
                <w:vertAlign w:val="superscript"/>
              </w:rPr>
              <w:t>*</w:t>
            </w:r>
            <w:r w:rsidRPr="00074369">
              <w:rPr>
                <w:rFonts w:cstheme="minorHAnsi"/>
                <w:szCs w:val="20"/>
              </w:rPr>
              <w:t> (0.091)</w:t>
            </w:r>
          </w:p>
        </w:tc>
        <w:tc>
          <w:tcPr>
            <w:tcW w:w="1273" w:type="dxa"/>
            <w:hideMark/>
          </w:tcPr>
          <w:p w14:paraId="2E50CFC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c>
          <w:tcPr>
            <w:tcW w:w="1273" w:type="dxa"/>
            <w:hideMark/>
          </w:tcPr>
          <w:p w14:paraId="6D40816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-0.232</w:t>
            </w:r>
          </w:p>
        </w:tc>
        <w:tc>
          <w:tcPr>
            <w:tcW w:w="1058" w:type="dxa"/>
            <w:hideMark/>
          </w:tcPr>
          <w:p w14:paraId="5EB214E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r>
      <w:tr w:rsidR="00CD6BB4" w:rsidRPr="00074369" w14:paraId="6B410BD4" w14:textId="77777777" w:rsidTr="007C15C8">
        <w:trPr>
          <w:trHeight w:val="20"/>
        </w:trPr>
        <w:tc>
          <w:tcPr>
            <w:tcW w:w="1838" w:type="dxa"/>
            <w:hideMark/>
          </w:tcPr>
          <w:p w14:paraId="4773BE7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Primax</w:t>
            </w:r>
          </w:p>
        </w:tc>
        <w:tc>
          <w:tcPr>
            <w:tcW w:w="1372" w:type="dxa"/>
            <w:hideMark/>
          </w:tcPr>
          <w:p w14:paraId="3E5E60D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0.45 </w:t>
            </w:r>
            <w:r w:rsidRPr="00074369">
              <w:rPr>
                <w:rFonts w:cstheme="minorHAnsi"/>
                <w:szCs w:val="20"/>
                <w:vertAlign w:val="superscript"/>
              </w:rPr>
              <w:t>***</w:t>
            </w:r>
          </w:p>
        </w:tc>
        <w:tc>
          <w:tcPr>
            <w:tcW w:w="1833" w:type="dxa"/>
            <w:hideMark/>
          </w:tcPr>
          <w:p w14:paraId="45B6569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0.402</w:t>
            </w:r>
            <w:r w:rsidRPr="00074369">
              <w:rPr>
                <w:rFonts w:cstheme="minorHAnsi"/>
                <w:szCs w:val="20"/>
                <w:vertAlign w:val="superscript"/>
              </w:rPr>
              <w:t>***</w:t>
            </w:r>
            <w:r w:rsidRPr="00074369">
              <w:rPr>
                <w:rFonts w:cstheme="minorHAnsi"/>
                <w:szCs w:val="20"/>
              </w:rPr>
              <w:t> (0.068)</w:t>
            </w:r>
          </w:p>
        </w:tc>
        <w:tc>
          <w:tcPr>
            <w:tcW w:w="1273" w:type="dxa"/>
            <w:hideMark/>
          </w:tcPr>
          <w:p w14:paraId="7F2414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0.411 </w:t>
            </w:r>
            <w:r w:rsidRPr="00074369">
              <w:rPr>
                <w:rFonts w:cstheme="minorHAnsi"/>
                <w:szCs w:val="20"/>
                <w:vertAlign w:val="superscript"/>
              </w:rPr>
              <w:t>***</w:t>
            </w:r>
          </w:p>
        </w:tc>
        <w:tc>
          <w:tcPr>
            <w:tcW w:w="1273" w:type="dxa"/>
            <w:hideMark/>
          </w:tcPr>
          <w:p w14:paraId="2642B10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0.164</w:t>
            </w:r>
          </w:p>
        </w:tc>
        <w:tc>
          <w:tcPr>
            <w:tcW w:w="1058" w:type="dxa"/>
            <w:hideMark/>
          </w:tcPr>
          <w:p w14:paraId="678EC5A4"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0.575 </w:t>
            </w:r>
            <w:r w:rsidRPr="00074369">
              <w:rPr>
                <w:rFonts w:cstheme="minorHAnsi"/>
                <w:szCs w:val="20"/>
                <w:vertAlign w:val="superscript"/>
              </w:rPr>
              <w:t>*</w:t>
            </w:r>
          </w:p>
        </w:tc>
      </w:tr>
      <w:tr w:rsidR="00CD6BB4" w:rsidRPr="00074369" w14:paraId="51A9FD11" w14:textId="77777777" w:rsidTr="007C15C8">
        <w:trPr>
          <w:trHeight w:val="20"/>
        </w:trPr>
        <w:tc>
          <w:tcPr>
            <w:tcW w:w="1838" w:type="dxa"/>
            <w:hideMark/>
          </w:tcPr>
          <w:p w14:paraId="396FA96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Repsol</w:t>
            </w:r>
          </w:p>
        </w:tc>
        <w:tc>
          <w:tcPr>
            <w:tcW w:w="1372" w:type="dxa"/>
            <w:hideMark/>
          </w:tcPr>
          <w:p w14:paraId="0BC2586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833" w:type="dxa"/>
            <w:hideMark/>
          </w:tcPr>
          <w:p w14:paraId="39C5BFD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0.302</w:t>
            </w:r>
            <w:r w:rsidRPr="00074369">
              <w:rPr>
                <w:rFonts w:cstheme="minorHAnsi"/>
                <w:szCs w:val="20"/>
                <w:vertAlign w:val="superscript"/>
              </w:rPr>
              <w:t>***</w:t>
            </w:r>
            <w:r w:rsidRPr="00074369">
              <w:rPr>
                <w:rFonts w:cstheme="minorHAnsi"/>
                <w:szCs w:val="20"/>
              </w:rPr>
              <w:t> (0.075)</w:t>
            </w:r>
          </w:p>
        </w:tc>
        <w:tc>
          <w:tcPr>
            <w:tcW w:w="1273" w:type="dxa"/>
            <w:hideMark/>
          </w:tcPr>
          <w:p w14:paraId="725E11FE"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273" w:type="dxa"/>
            <w:hideMark/>
          </w:tcPr>
          <w:p w14:paraId="1DE52A8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0.122</w:t>
            </w:r>
          </w:p>
        </w:tc>
        <w:tc>
          <w:tcPr>
            <w:tcW w:w="1058" w:type="dxa"/>
            <w:hideMark/>
          </w:tcPr>
          <w:p w14:paraId="7B9D03D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0.431</w:t>
            </w:r>
          </w:p>
        </w:tc>
      </w:tr>
      <w:tr w:rsidR="00CD6BB4" w:rsidRPr="00074369" w14:paraId="3E3C67CE" w14:textId="77777777" w:rsidTr="007C15C8">
        <w:trPr>
          <w:trHeight w:val="20"/>
        </w:trPr>
        <w:tc>
          <w:tcPr>
            <w:tcW w:w="1838" w:type="dxa"/>
            <w:hideMark/>
          </w:tcPr>
          <w:p w14:paraId="015E4F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Pecsa</w:t>
            </w:r>
          </w:p>
        </w:tc>
        <w:tc>
          <w:tcPr>
            <w:tcW w:w="1372" w:type="dxa"/>
            <w:hideMark/>
          </w:tcPr>
          <w:p w14:paraId="1A211D1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0.158</w:t>
            </w:r>
          </w:p>
        </w:tc>
        <w:tc>
          <w:tcPr>
            <w:tcW w:w="1833" w:type="dxa"/>
            <w:hideMark/>
          </w:tcPr>
          <w:p w14:paraId="0365DA2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 (0.103)</w:t>
            </w:r>
          </w:p>
        </w:tc>
        <w:tc>
          <w:tcPr>
            <w:tcW w:w="1273" w:type="dxa"/>
            <w:hideMark/>
          </w:tcPr>
          <w:p w14:paraId="756E73C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0.032</w:t>
            </w:r>
          </w:p>
        </w:tc>
        <w:tc>
          <w:tcPr>
            <w:tcW w:w="1273" w:type="dxa"/>
            <w:hideMark/>
          </w:tcPr>
          <w:p w14:paraId="295D641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-0.526</w:t>
            </w:r>
          </w:p>
        </w:tc>
        <w:tc>
          <w:tcPr>
            <w:tcW w:w="1058" w:type="dxa"/>
            <w:hideMark/>
          </w:tcPr>
          <w:p w14:paraId="7ED4A14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-0.494</w:t>
            </w:r>
          </w:p>
        </w:tc>
      </w:tr>
      <w:tr w:rsidR="00CD6BB4" w:rsidRPr="00074369" w14:paraId="6E6AE7A7" w14:textId="77777777" w:rsidTr="007C15C8">
        <w:trPr>
          <w:trHeight w:val="20"/>
        </w:trPr>
        <w:tc>
          <w:tcPr>
            <w:tcW w:w="1838" w:type="dxa"/>
            <w:hideMark/>
          </w:tcPr>
          <w:p w14:paraId="2E670E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Primax</w:t>
            </w:r>
          </w:p>
        </w:tc>
        <w:tc>
          <w:tcPr>
            <w:tcW w:w="1372" w:type="dxa"/>
            <w:hideMark/>
          </w:tcPr>
          <w:p w14:paraId="42949AC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0.311 </w:t>
            </w:r>
            <w:r w:rsidRPr="00074369">
              <w:rPr>
                <w:rFonts w:cstheme="minorHAnsi"/>
                <w:szCs w:val="20"/>
                <w:vertAlign w:val="superscript"/>
              </w:rPr>
              <w:t>***</w:t>
            </w:r>
          </w:p>
        </w:tc>
        <w:tc>
          <w:tcPr>
            <w:tcW w:w="1833" w:type="dxa"/>
            <w:hideMark/>
          </w:tcPr>
          <w:p w14:paraId="5A0228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0.294</w:t>
            </w:r>
            <w:r w:rsidRPr="00074369">
              <w:rPr>
                <w:rFonts w:cstheme="minorHAnsi"/>
                <w:szCs w:val="20"/>
                <w:vertAlign w:val="superscript"/>
              </w:rPr>
              <w:t>***</w:t>
            </w:r>
            <w:r w:rsidRPr="00074369">
              <w:rPr>
                <w:rFonts w:cstheme="minorHAnsi"/>
                <w:szCs w:val="20"/>
              </w:rPr>
              <w:t> (0.088)</w:t>
            </w:r>
          </w:p>
        </w:tc>
        <w:tc>
          <w:tcPr>
            <w:tcW w:w="1273" w:type="dxa"/>
            <w:hideMark/>
          </w:tcPr>
          <w:p w14:paraId="1FCCDB9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0.29 </w:t>
            </w:r>
            <w:r w:rsidRPr="00074369">
              <w:rPr>
                <w:rFonts w:cstheme="minorHAnsi"/>
                <w:szCs w:val="20"/>
                <w:vertAlign w:val="superscript"/>
              </w:rPr>
              <w:t>***</w:t>
            </w:r>
          </w:p>
        </w:tc>
        <w:tc>
          <w:tcPr>
            <w:tcW w:w="1273" w:type="dxa"/>
            <w:hideMark/>
          </w:tcPr>
          <w:p w14:paraId="1110BFA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c>
          <w:tcPr>
            <w:tcW w:w="1058" w:type="dxa"/>
            <w:hideMark/>
          </w:tcPr>
          <w:p w14:paraId="4A95C31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0F0E9AE3" w14:textId="77777777" w:rsidTr="007C15C8">
        <w:trPr>
          <w:trHeight w:val="20"/>
        </w:trPr>
        <w:tc>
          <w:tcPr>
            <w:tcW w:w="1838" w:type="dxa"/>
            <w:hideMark/>
          </w:tcPr>
          <w:p w14:paraId="1645F3B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Repsol</w:t>
            </w:r>
          </w:p>
        </w:tc>
        <w:tc>
          <w:tcPr>
            <w:tcW w:w="1372" w:type="dxa"/>
            <w:hideMark/>
          </w:tcPr>
          <w:p w14:paraId="14A4A67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0.169 </w:t>
            </w:r>
            <w:r w:rsidRPr="00074369">
              <w:rPr>
                <w:rFonts w:cstheme="minorHAnsi"/>
                <w:szCs w:val="20"/>
                <w:vertAlign w:val="superscript"/>
              </w:rPr>
              <w:t>*</w:t>
            </w:r>
          </w:p>
        </w:tc>
        <w:tc>
          <w:tcPr>
            <w:tcW w:w="1833" w:type="dxa"/>
            <w:hideMark/>
          </w:tcPr>
          <w:p w14:paraId="0B926F3C"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0.152</w:t>
            </w:r>
            <w:r w:rsidRPr="00074369">
              <w:rPr>
                <w:rFonts w:cstheme="minorHAnsi"/>
                <w:szCs w:val="20"/>
                <w:vertAlign w:val="superscript"/>
              </w:rPr>
              <w:t>*</w:t>
            </w:r>
            <w:r w:rsidRPr="00074369">
              <w:rPr>
                <w:rFonts w:cstheme="minorHAnsi"/>
                <w:szCs w:val="20"/>
              </w:rPr>
              <w:t> (0.079)</w:t>
            </w:r>
          </w:p>
        </w:tc>
        <w:tc>
          <w:tcPr>
            <w:tcW w:w="1273" w:type="dxa"/>
            <w:hideMark/>
          </w:tcPr>
          <w:p w14:paraId="0BC2020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0.144 </w:t>
            </w:r>
            <w:r w:rsidRPr="00074369">
              <w:rPr>
                <w:rFonts w:cstheme="minorHAnsi"/>
                <w:szCs w:val="20"/>
                <w:vertAlign w:val="superscript"/>
              </w:rPr>
              <w:t>*</w:t>
            </w:r>
          </w:p>
        </w:tc>
        <w:tc>
          <w:tcPr>
            <w:tcW w:w="1273" w:type="dxa"/>
            <w:hideMark/>
          </w:tcPr>
          <w:p w14:paraId="2CD486F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04B2D1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0.002</w:t>
            </w:r>
          </w:p>
        </w:tc>
      </w:tr>
      <w:tr w:rsidR="00CD6BB4" w:rsidRPr="00074369" w14:paraId="4E46DFE0" w14:textId="77777777" w:rsidTr="007C15C8">
        <w:trPr>
          <w:trHeight w:val="20"/>
        </w:trPr>
        <w:tc>
          <w:tcPr>
            <w:tcW w:w="1838" w:type="dxa"/>
            <w:hideMark/>
          </w:tcPr>
          <w:p w14:paraId="3E58B8E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SC</w:t>
            </w:r>
          </w:p>
        </w:tc>
        <w:tc>
          <w:tcPr>
            <w:tcW w:w="1372" w:type="dxa"/>
            <w:hideMark/>
          </w:tcPr>
          <w:p w14:paraId="6CBB3A5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-0.099</w:t>
            </w:r>
          </w:p>
        </w:tc>
        <w:tc>
          <w:tcPr>
            <w:tcW w:w="1833" w:type="dxa"/>
            <w:hideMark/>
          </w:tcPr>
          <w:p w14:paraId="65BAA23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-0.127 (0.134)</w:t>
            </w:r>
          </w:p>
        </w:tc>
        <w:tc>
          <w:tcPr>
            <w:tcW w:w="1273" w:type="dxa"/>
            <w:hideMark/>
          </w:tcPr>
          <w:p w14:paraId="43EE7DE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-0.096</w:t>
            </w:r>
          </w:p>
        </w:tc>
        <w:tc>
          <w:tcPr>
            <w:tcW w:w="1273" w:type="dxa"/>
            <w:hideMark/>
          </w:tcPr>
          <w:p w14:paraId="2F62251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0.552 </w:t>
            </w:r>
            <w:r w:rsidRPr="00074369">
              <w:rPr>
                <w:rFonts w:cstheme="minorHAnsi"/>
                <w:szCs w:val="20"/>
                <w:vertAlign w:val="superscript"/>
              </w:rPr>
              <w:t>*</w:t>
            </w:r>
          </w:p>
        </w:tc>
        <w:tc>
          <w:tcPr>
            <w:tcW w:w="1058" w:type="dxa"/>
            <w:hideMark/>
          </w:tcPr>
          <w:p w14:paraId="6336F44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0.456</w:t>
            </w:r>
          </w:p>
        </w:tc>
      </w:tr>
      <w:tr w:rsidR="00CD6BB4" w:rsidRPr="00074369" w14:paraId="2189F975" w14:textId="77777777" w:rsidTr="007C15C8">
        <w:trPr>
          <w:trHeight w:val="20"/>
        </w:trPr>
        <w:tc>
          <w:tcPr>
            <w:tcW w:w="1838" w:type="dxa"/>
            <w:hideMark/>
          </w:tcPr>
          <w:p w14:paraId="10076D2B"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DPROM</w:t>
            </w:r>
          </w:p>
        </w:tc>
        <w:tc>
          <w:tcPr>
            <w:tcW w:w="1372" w:type="dxa"/>
            <w:hideMark/>
          </w:tcPr>
          <w:p w14:paraId="07F3C77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-0.124</w:t>
            </w:r>
          </w:p>
        </w:tc>
        <w:tc>
          <w:tcPr>
            <w:tcW w:w="1833" w:type="dxa"/>
            <w:hideMark/>
          </w:tcPr>
          <w:p w14:paraId="2E37E69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0.086 (0.176)</w:t>
            </w:r>
          </w:p>
        </w:tc>
        <w:tc>
          <w:tcPr>
            <w:tcW w:w="1273" w:type="dxa"/>
            <w:hideMark/>
          </w:tcPr>
          <w:p w14:paraId="3195F7D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c>
          <w:tcPr>
            <w:tcW w:w="1273" w:type="dxa"/>
            <w:hideMark/>
          </w:tcPr>
          <w:p w14:paraId="6151A36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-0.92</w:t>
            </w:r>
          </w:p>
        </w:tc>
        <w:tc>
          <w:tcPr>
            <w:tcW w:w="1058" w:type="dxa"/>
            <w:hideMark/>
          </w:tcPr>
          <w:p w14:paraId="13F7B93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-0.885</w:t>
            </w:r>
          </w:p>
        </w:tc>
      </w:tr>
      <w:tr w:rsidR="00CD6BB4" w:rsidRPr="00074369" w14:paraId="10FC9777" w14:textId="77777777" w:rsidTr="007C15C8">
        <w:trPr>
          <w:trHeight w:val="20"/>
        </w:trPr>
        <w:tc>
          <w:tcPr>
            <w:tcW w:w="1838" w:type="dxa"/>
            <w:hideMark/>
          </w:tcPr>
          <w:p w14:paraId="4533BBF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DMIN</w:t>
            </w:r>
          </w:p>
        </w:tc>
        <w:tc>
          <w:tcPr>
            <w:tcW w:w="1372" w:type="dxa"/>
            <w:hideMark/>
          </w:tcPr>
          <w:p w14:paraId="6CBFEBD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0.029</w:t>
            </w:r>
          </w:p>
        </w:tc>
        <w:tc>
          <w:tcPr>
            <w:tcW w:w="1833" w:type="dxa"/>
            <w:hideMark/>
          </w:tcPr>
          <w:p w14:paraId="19C79EE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(0.068)</w:t>
            </w:r>
          </w:p>
        </w:tc>
        <w:tc>
          <w:tcPr>
            <w:tcW w:w="1273" w:type="dxa"/>
            <w:hideMark/>
          </w:tcPr>
          <w:p w14:paraId="1A26D65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0.007</w:t>
            </w:r>
          </w:p>
        </w:tc>
        <w:tc>
          <w:tcPr>
            <w:tcW w:w="1273" w:type="dxa"/>
            <w:hideMark/>
          </w:tcPr>
          <w:p w14:paraId="5EF873D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0.075</w:t>
            </w:r>
          </w:p>
        </w:tc>
        <w:tc>
          <w:tcPr>
            <w:tcW w:w="1058" w:type="dxa"/>
            <w:hideMark/>
          </w:tcPr>
          <w:p w14:paraId="7C818C9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0.082</w:t>
            </w:r>
          </w:p>
        </w:tc>
      </w:tr>
      <w:tr w:rsidR="00CD6BB4" w:rsidRPr="00074369" w14:paraId="5404ADE8" w14:textId="77777777" w:rsidTr="007C15C8">
        <w:trPr>
          <w:trHeight w:val="20"/>
        </w:trPr>
        <w:tc>
          <w:tcPr>
            <w:tcW w:w="1838" w:type="dxa"/>
            <w:hideMark/>
          </w:tcPr>
          <w:p w14:paraId="454B72B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NCER</w:t>
            </w:r>
          </w:p>
        </w:tc>
        <w:tc>
          <w:tcPr>
            <w:tcW w:w="1372" w:type="dxa"/>
            <w:hideMark/>
          </w:tcPr>
          <w:p w14:paraId="7A7BCE8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w:t>
            </w:r>
            <w:r w:rsidRPr="00074369">
              <w:rPr>
                <w:rFonts w:cstheme="minorHAnsi"/>
                <w:szCs w:val="20"/>
                <w:vertAlign w:val="superscript"/>
              </w:rPr>
              <w:t>***</w:t>
            </w:r>
          </w:p>
        </w:tc>
        <w:tc>
          <w:tcPr>
            <w:tcW w:w="1833" w:type="dxa"/>
            <w:hideMark/>
          </w:tcPr>
          <w:p w14:paraId="7AB0311E"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0.017 (0.011)</w:t>
            </w:r>
          </w:p>
        </w:tc>
        <w:tc>
          <w:tcPr>
            <w:tcW w:w="1273" w:type="dxa"/>
            <w:hideMark/>
          </w:tcPr>
          <w:p w14:paraId="54593E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0.014</w:t>
            </w:r>
          </w:p>
        </w:tc>
        <w:tc>
          <w:tcPr>
            <w:tcW w:w="1273" w:type="dxa"/>
            <w:hideMark/>
          </w:tcPr>
          <w:p w14:paraId="7EC9AA3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-0.044 </w:t>
            </w:r>
            <w:r w:rsidRPr="00074369">
              <w:rPr>
                <w:rFonts w:cstheme="minorHAnsi"/>
                <w:szCs w:val="20"/>
                <w:vertAlign w:val="superscript"/>
              </w:rPr>
              <w:t>***</w:t>
            </w:r>
          </w:p>
        </w:tc>
        <w:tc>
          <w:tcPr>
            <w:tcW w:w="1058" w:type="dxa"/>
            <w:hideMark/>
          </w:tcPr>
          <w:p w14:paraId="1993BEA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-0.03 </w:t>
            </w:r>
            <w:r w:rsidRPr="00074369">
              <w:rPr>
                <w:rFonts w:cstheme="minorHAnsi"/>
                <w:szCs w:val="20"/>
                <w:vertAlign w:val="superscript"/>
              </w:rPr>
              <w:t>***</w:t>
            </w:r>
          </w:p>
        </w:tc>
      </w:tr>
      <w:tr w:rsidR="00CD6BB4" w:rsidRPr="00074369" w14:paraId="4E5E82C6" w14:textId="77777777" w:rsidTr="007C15C8">
        <w:trPr>
          <w:trHeight w:val="20"/>
        </w:trPr>
        <w:tc>
          <w:tcPr>
            <w:tcW w:w="1838" w:type="dxa"/>
            <w:hideMark/>
          </w:tcPr>
          <w:p w14:paraId="52907672"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MECANICO</w:t>
            </w:r>
          </w:p>
        </w:tc>
        <w:tc>
          <w:tcPr>
            <w:tcW w:w="1372" w:type="dxa"/>
            <w:hideMark/>
          </w:tcPr>
          <w:p w14:paraId="0B1CD31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w:t>
            </w:r>
          </w:p>
        </w:tc>
        <w:tc>
          <w:tcPr>
            <w:tcW w:w="1833" w:type="dxa"/>
            <w:hideMark/>
          </w:tcPr>
          <w:p w14:paraId="6BDB3E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(0.063)</w:t>
            </w:r>
          </w:p>
        </w:tc>
        <w:tc>
          <w:tcPr>
            <w:tcW w:w="1273" w:type="dxa"/>
            <w:hideMark/>
          </w:tcPr>
          <w:p w14:paraId="54EDF56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0.051</w:t>
            </w:r>
          </w:p>
        </w:tc>
        <w:tc>
          <w:tcPr>
            <w:tcW w:w="1273" w:type="dxa"/>
            <w:hideMark/>
          </w:tcPr>
          <w:p w14:paraId="47EB75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0.419 </w:t>
            </w:r>
            <w:r w:rsidRPr="00074369">
              <w:rPr>
                <w:rFonts w:cstheme="minorHAnsi"/>
                <w:szCs w:val="20"/>
                <w:vertAlign w:val="superscript"/>
              </w:rPr>
              <w:t>*</w:t>
            </w:r>
          </w:p>
        </w:tc>
        <w:tc>
          <w:tcPr>
            <w:tcW w:w="1058" w:type="dxa"/>
            <w:hideMark/>
          </w:tcPr>
          <w:p w14:paraId="2F11866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0.47 </w:t>
            </w:r>
            <w:r w:rsidRPr="00074369">
              <w:rPr>
                <w:rFonts w:cstheme="minorHAnsi"/>
                <w:szCs w:val="20"/>
                <w:vertAlign w:val="superscript"/>
              </w:rPr>
              <w:t>**</w:t>
            </w:r>
          </w:p>
        </w:tc>
      </w:tr>
      <w:tr w:rsidR="00CD6BB4" w:rsidRPr="00074369" w14:paraId="6DF692A3" w14:textId="77777777" w:rsidTr="007C15C8">
        <w:trPr>
          <w:trHeight w:val="20"/>
        </w:trPr>
        <w:tc>
          <w:tcPr>
            <w:tcW w:w="1838" w:type="dxa"/>
            <w:hideMark/>
          </w:tcPr>
          <w:p w14:paraId="1ACBBFD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LAVADO</w:t>
            </w:r>
          </w:p>
        </w:tc>
        <w:tc>
          <w:tcPr>
            <w:tcW w:w="1372" w:type="dxa"/>
            <w:hideMark/>
          </w:tcPr>
          <w:p w14:paraId="158B9A1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-0.108</w:t>
            </w:r>
          </w:p>
        </w:tc>
        <w:tc>
          <w:tcPr>
            <w:tcW w:w="1833" w:type="dxa"/>
            <w:hideMark/>
          </w:tcPr>
          <w:p w14:paraId="27A3F97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-0.055 (0.070)</w:t>
            </w:r>
          </w:p>
        </w:tc>
        <w:tc>
          <w:tcPr>
            <w:tcW w:w="1273" w:type="dxa"/>
            <w:hideMark/>
          </w:tcPr>
          <w:p w14:paraId="58A532A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-0.101</w:t>
            </w:r>
          </w:p>
        </w:tc>
        <w:tc>
          <w:tcPr>
            <w:tcW w:w="1273" w:type="dxa"/>
            <w:hideMark/>
          </w:tcPr>
          <w:p w14:paraId="5494F8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-0.812 </w:t>
            </w:r>
            <w:r w:rsidRPr="00074369">
              <w:rPr>
                <w:rFonts w:cstheme="minorHAnsi"/>
                <w:szCs w:val="20"/>
                <w:vertAlign w:val="superscript"/>
              </w:rPr>
              <w:t>***</w:t>
            </w:r>
          </w:p>
        </w:tc>
        <w:tc>
          <w:tcPr>
            <w:tcW w:w="1058" w:type="dxa"/>
            <w:hideMark/>
          </w:tcPr>
          <w:p w14:paraId="721D6D4A"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-0.912 </w:t>
            </w:r>
            <w:r w:rsidRPr="00074369">
              <w:rPr>
                <w:rFonts w:cstheme="minorHAnsi"/>
                <w:szCs w:val="20"/>
                <w:vertAlign w:val="superscript"/>
              </w:rPr>
              <w:t>***</w:t>
            </w:r>
          </w:p>
        </w:tc>
      </w:tr>
      <w:tr w:rsidR="00CD6BB4" w:rsidRPr="00074369" w14:paraId="1402B5A6" w14:textId="77777777" w:rsidTr="007C15C8">
        <w:trPr>
          <w:trHeight w:val="20"/>
        </w:trPr>
        <w:tc>
          <w:tcPr>
            <w:tcW w:w="1838" w:type="dxa"/>
            <w:hideMark/>
          </w:tcPr>
          <w:p w14:paraId="276460A4"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DC3CE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0.048</w:t>
            </w:r>
          </w:p>
        </w:tc>
        <w:tc>
          <w:tcPr>
            <w:tcW w:w="1833" w:type="dxa"/>
            <w:hideMark/>
          </w:tcPr>
          <w:p w14:paraId="2C1A6FF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0.042 (0.050)</w:t>
            </w:r>
          </w:p>
        </w:tc>
        <w:tc>
          <w:tcPr>
            <w:tcW w:w="1273" w:type="dxa"/>
            <w:hideMark/>
          </w:tcPr>
          <w:p w14:paraId="0D4754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w:t>
            </w:r>
          </w:p>
        </w:tc>
        <w:tc>
          <w:tcPr>
            <w:tcW w:w="1273" w:type="dxa"/>
            <w:hideMark/>
          </w:tcPr>
          <w:p w14:paraId="04926A1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FFC7A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0.192</w:t>
            </w:r>
          </w:p>
        </w:tc>
      </w:tr>
      <w:tr w:rsidR="00CD6BB4" w:rsidRPr="00074369" w14:paraId="1A07F325" w14:textId="77777777" w:rsidTr="007C15C8">
        <w:trPr>
          <w:trHeight w:val="20"/>
        </w:trPr>
        <w:tc>
          <w:tcPr>
            <w:tcW w:w="1838" w:type="dxa"/>
            <w:hideMark/>
          </w:tcPr>
          <w:p w14:paraId="46FF65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GNV</w:t>
            </w:r>
          </w:p>
        </w:tc>
        <w:tc>
          <w:tcPr>
            <w:tcW w:w="1372" w:type="dxa"/>
            <w:hideMark/>
          </w:tcPr>
          <w:p w14:paraId="4EF3B0D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-0.087</w:t>
            </w:r>
          </w:p>
        </w:tc>
        <w:tc>
          <w:tcPr>
            <w:tcW w:w="1833" w:type="dxa"/>
            <w:hideMark/>
          </w:tcPr>
          <w:p w14:paraId="75D414F9"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-0.082 (0.053)</w:t>
            </w:r>
          </w:p>
        </w:tc>
        <w:tc>
          <w:tcPr>
            <w:tcW w:w="1273" w:type="dxa"/>
            <w:hideMark/>
          </w:tcPr>
          <w:p w14:paraId="643591B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-0.067</w:t>
            </w:r>
          </w:p>
        </w:tc>
        <w:tc>
          <w:tcPr>
            <w:tcW w:w="1273" w:type="dxa"/>
            <w:hideMark/>
          </w:tcPr>
          <w:p w14:paraId="7624CE1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0.271</w:t>
            </w:r>
          </w:p>
        </w:tc>
        <w:tc>
          <w:tcPr>
            <w:tcW w:w="1058" w:type="dxa"/>
            <w:hideMark/>
          </w:tcPr>
          <w:p w14:paraId="7D03E8D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7E7339E9" w14:textId="77777777" w:rsidTr="007C15C8">
        <w:trPr>
          <w:trHeight w:val="20"/>
        </w:trPr>
        <w:tc>
          <w:tcPr>
            <w:tcW w:w="1838" w:type="dxa"/>
            <w:hideMark/>
          </w:tcPr>
          <w:p w14:paraId="3E079C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GLP</w:t>
            </w:r>
          </w:p>
        </w:tc>
        <w:tc>
          <w:tcPr>
            <w:tcW w:w="1372" w:type="dxa"/>
            <w:hideMark/>
          </w:tcPr>
          <w:p w14:paraId="44FC33C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-0.034</w:t>
            </w:r>
          </w:p>
        </w:tc>
        <w:tc>
          <w:tcPr>
            <w:tcW w:w="1833" w:type="dxa"/>
            <w:hideMark/>
          </w:tcPr>
          <w:p w14:paraId="1A5AA10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-0.012 (0.050)</w:t>
            </w:r>
          </w:p>
        </w:tc>
        <w:tc>
          <w:tcPr>
            <w:tcW w:w="1273" w:type="dxa"/>
            <w:hideMark/>
          </w:tcPr>
          <w:p w14:paraId="21E02D3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-0.036</w:t>
            </w:r>
          </w:p>
        </w:tc>
        <w:tc>
          <w:tcPr>
            <w:tcW w:w="1273" w:type="dxa"/>
            <w:hideMark/>
          </w:tcPr>
          <w:p w14:paraId="303335C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-0.427 </w:t>
            </w:r>
            <w:r w:rsidRPr="00074369">
              <w:rPr>
                <w:rFonts w:cstheme="minorHAnsi"/>
                <w:szCs w:val="20"/>
                <w:vertAlign w:val="superscript"/>
              </w:rPr>
              <w:t>**</w:t>
            </w:r>
          </w:p>
        </w:tc>
        <w:tc>
          <w:tcPr>
            <w:tcW w:w="1058" w:type="dxa"/>
            <w:hideMark/>
          </w:tcPr>
          <w:p w14:paraId="37A2DF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-0.463 </w:t>
            </w:r>
            <w:r w:rsidRPr="00074369">
              <w:rPr>
                <w:rFonts w:cstheme="minorHAnsi"/>
                <w:szCs w:val="20"/>
                <w:vertAlign w:val="superscript"/>
              </w:rPr>
              <w:t>**</w:t>
            </w:r>
          </w:p>
        </w:tc>
      </w:tr>
      <w:tr w:rsidR="00CD6BB4" w:rsidRPr="00074369" w14:paraId="20C65500" w14:textId="77777777" w:rsidTr="007C15C8">
        <w:trPr>
          <w:trHeight w:val="20"/>
        </w:trPr>
        <w:tc>
          <w:tcPr>
            <w:tcW w:w="1838" w:type="dxa"/>
            <w:hideMark/>
          </w:tcPr>
          <w:p w14:paraId="25819FEC"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INGRESO</w:t>
            </w:r>
          </w:p>
        </w:tc>
        <w:tc>
          <w:tcPr>
            <w:tcW w:w="1372" w:type="dxa"/>
            <w:hideMark/>
          </w:tcPr>
          <w:p w14:paraId="78E0F95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-0.015</w:t>
            </w:r>
          </w:p>
        </w:tc>
        <w:tc>
          <w:tcPr>
            <w:tcW w:w="1833" w:type="dxa"/>
            <w:hideMark/>
          </w:tcPr>
          <w:p w14:paraId="69CBAD2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0.039 (0.336)</w:t>
            </w:r>
          </w:p>
        </w:tc>
        <w:tc>
          <w:tcPr>
            <w:tcW w:w="1273" w:type="dxa"/>
            <w:hideMark/>
          </w:tcPr>
          <w:p w14:paraId="45BE333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0.033</w:t>
            </w:r>
          </w:p>
        </w:tc>
        <w:tc>
          <w:tcPr>
            <w:tcW w:w="1273" w:type="dxa"/>
            <w:hideMark/>
          </w:tcPr>
          <w:p w14:paraId="2CBEB4F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-0.113</w:t>
            </w:r>
          </w:p>
        </w:tc>
        <w:tc>
          <w:tcPr>
            <w:tcW w:w="1058" w:type="dxa"/>
            <w:hideMark/>
          </w:tcPr>
          <w:p w14:paraId="2B31639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-0.081</w:t>
            </w:r>
          </w:p>
        </w:tc>
      </w:tr>
      <w:tr w:rsidR="00CD6BB4" w:rsidRPr="00074369" w14:paraId="631B6832" w14:textId="77777777" w:rsidTr="007C15C8">
        <w:trPr>
          <w:trHeight w:val="20"/>
        </w:trPr>
        <w:tc>
          <w:tcPr>
            <w:tcW w:w="1838" w:type="dxa"/>
            <w:hideMark/>
          </w:tcPr>
          <w:p w14:paraId="73B79C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DENPOB</w:t>
            </w:r>
          </w:p>
        </w:tc>
        <w:tc>
          <w:tcPr>
            <w:tcW w:w="1372" w:type="dxa"/>
            <w:hideMark/>
          </w:tcPr>
          <w:p w14:paraId="6609CF8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-0.083 </w:t>
            </w:r>
            <w:r w:rsidRPr="00074369">
              <w:rPr>
                <w:rFonts w:cstheme="minorHAnsi"/>
                <w:szCs w:val="20"/>
                <w:vertAlign w:val="superscript"/>
              </w:rPr>
              <w:t>*</w:t>
            </w:r>
          </w:p>
        </w:tc>
        <w:tc>
          <w:tcPr>
            <w:tcW w:w="1833" w:type="dxa"/>
            <w:hideMark/>
          </w:tcPr>
          <w:p w14:paraId="216A869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-0.135</w:t>
            </w:r>
            <w:r w:rsidRPr="00074369">
              <w:rPr>
                <w:rFonts w:cstheme="minorHAnsi"/>
                <w:szCs w:val="20"/>
                <w:vertAlign w:val="superscript"/>
              </w:rPr>
              <w:t>*</w:t>
            </w:r>
            <w:r w:rsidRPr="00074369">
              <w:rPr>
                <w:rFonts w:cstheme="minorHAnsi"/>
                <w:szCs w:val="20"/>
              </w:rPr>
              <w:t> (0.075)</w:t>
            </w:r>
          </w:p>
        </w:tc>
        <w:tc>
          <w:tcPr>
            <w:tcW w:w="1273" w:type="dxa"/>
            <w:hideMark/>
          </w:tcPr>
          <w:p w14:paraId="0EB9487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-0.128 </w:t>
            </w:r>
            <w:r w:rsidRPr="00074369">
              <w:rPr>
                <w:rFonts w:cstheme="minorHAnsi"/>
                <w:szCs w:val="20"/>
                <w:vertAlign w:val="superscript"/>
              </w:rPr>
              <w:t>*</w:t>
            </w:r>
          </w:p>
        </w:tc>
        <w:tc>
          <w:tcPr>
            <w:tcW w:w="1273" w:type="dxa"/>
            <w:hideMark/>
          </w:tcPr>
          <w:p w14:paraId="751CA96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0.127</w:t>
            </w:r>
          </w:p>
        </w:tc>
        <w:tc>
          <w:tcPr>
            <w:tcW w:w="1058" w:type="dxa"/>
            <w:hideMark/>
          </w:tcPr>
          <w:p w14:paraId="679BE7E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-0.001</w:t>
            </w:r>
          </w:p>
        </w:tc>
      </w:tr>
      <w:tr w:rsidR="00CD6BB4" w:rsidRPr="00074369" w14:paraId="33FB5677" w14:textId="77777777" w:rsidTr="007C15C8">
        <w:trPr>
          <w:trHeight w:val="20"/>
        </w:trPr>
        <w:tc>
          <w:tcPr>
            <w:tcW w:w="1838" w:type="dxa"/>
            <w:hideMark/>
          </w:tcPr>
          <w:p w14:paraId="2D792E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LOGVIAJES</w:t>
            </w:r>
          </w:p>
        </w:tc>
        <w:tc>
          <w:tcPr>
            <w:tcW w:w="1372" w:type="dxa"/>
            <w:hideMark/>
          </w:tcPr>
          <w:p w14:paraId="1CFE1ED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0.011</w:t>
            </w:r>
          </w:p>
        </w:tc>
        <w:tc>
          <w:tcPr>
            <w:tcW w:w="1833" w:type="dxa"/>
            <w:hideMark/>
          </w:tcPr>
          <w:p w14:paraId="5BF1135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-0.129</w:t>
            </w:r>
            <w:r w:rsidRPr="00074369">
              <w:rPr>
                <w:rFonts w:cstheme="minorHAnsi"/>
                <w:szCs w:val="20"/>
                <w:vertAlign w:val="superscript"/>
              </w:rPr>
              <w:t>*</w:t>
            </w:r>
            <w:r w:rsidRPr="00074369">
              <w:rPr>
                <w:rFonts w:cstheme="minorHAnsi"/>
                <w:szCs w:val="20"/>
              </w:rPr>
              <w:t> (0.072)</w:t>
            </w:r>
          </w:p>
        </w:tc>
        <w:tc>
          <w:tcPr>
            <w:tcW w:w="1273" w:type="dxa"/>
            <w:hideMark/>
          </w:tcPr>
          <w:p w14:paraId="4A7FBB2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-0.114 </w:t>
            </w:r>
            <w:r w:rsidRPr="00074369">
              <w:rPr>
                <w:rFonts w:cstheme="minorHAnsi"/>
                <w:szCs w:val="20"/>
                <w:vertAlign w:val="superscript"/>
              </w:rPr>
              <w:t>*</w:t>
            </w:r>
          </w:p>
        </w:tc>
        <w:tc>
          <w:tcPr>
            <w:tcW w:w="1273" w:type="dxa"/>
            <w:hideMark/>
          </w:tcPr>
          <w:p w14:paraId="213BE37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0.26 </w:t>
            </w:r>
            <w:r w:rsidRPr="00074369">
              <w:rPr>
                <w:rFonts w:cstheme="minorHAnsi"/>
                <w:szCs w:val="20"/>
                <w:vertAlign w:val="superscript"/>
              </w:rPr>
              <w:t>**</w:t>
            </w:r>
          </w:p>
        </w:tc>
        <w:tc>
          <w:tcPr>
            <w:tcW w:w="1058" w:type="dxa"/>
            <w:hideMark/>
          </w:tcPr>
          <w:p w14:paraId="119248B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r>
      <w:tr w:rsidR="00CD6BB4" w:rsidRPr="00074369" w14:paraId="2CFC9C58" w14:textId="77777777" w:rsidTr="007C15C8">
        <w:trPr>
          <w:trHeight w:val="20"/>
        </w:trPr>
        <w:tc>
          <w:tcPr>
            <w:tcW w:w="1838" w:type="dxa"/>
            <w:hideMark/>
          </w:tcPr>
          <w:p w14:paraId="4C30D47E" w14:textId="77777777" w:rsidR="00CD6BB4" w:rsidRPr="00074369" w:rsidRDefault="00CD6BB4" w:rsidP="007C15C8">
            <w:pPr>
              <w:spacing w:after="0" w:line="240" w:lineRule="auto"/>
              <w:jc w:val="left"/>
              <w:textAlignment w:val="top"/>
              <w:rPr>
                <w:rFonts w:cstheme="minorHAnsi"/>
                <w:szCs w:val="20"/>
              </w:rPr>
            </w:pPr>
            <m:oMathPara>
              <m:oMathParaPr>
                <m:jc m:val="left"/>
              </m:oMathParaPr>
              <m:oMath>
                <m:r>
                  <w:rPr>
                    <w:rFonts w:ascii="Cambria Math" w:hAnsi="Cambria Math" w:cstheme="minorHAnsi"/>
                    <w:szCs w:val="20"/>
                  </w:rPr>
                  <m:t>ρ</m:t>
                </m:r>
              </m:oMath>
            </m:oMathPara>
          </w:p>
        </w:tc>
        <w:tc>
          <w:tcPr>
            <w:tcW w:w="1372" w:type="dxa"/>
            <w:hideMark/>
          </w:tcPr>
          <w:p w14:paraId="0854C7A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w:t>
            </w:r>
          </w:p>
        </w:tc>
        <w:tc>
          <w:tcPr>
            <w:tcW w:w="1833" w:type="dxa"/>
            <w:hideMark/>
          </w:tcPr>
          <w:p w14:paraId="377B4DD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0.452</w:t>
            </w:r>
            <w:r w:rsidRPr="00074369">
              <w:rPr>
                <w:rFonts w:cstheme="minorHAnsi"/>
                <w:szCs w:val="20"/>
                <w:vertAlign w:val="superscript"/>
              </w:rPr>
              <w:t>***</w:t>
            </w:r>
            <w:r w:rsidRPr="00074369">
              <w:rPr>
                <w:rFonts w:cstheme="minorHAnsi"/>
                <w:szCs w:val="20"/>
              </w:rPr>
              <w:t> (0.061)</w:t>
            </w:r>
          </w:p>
        </w:tc>
        <w:tc>
          <w:tcPr>
            <w:tcW w:w="1273" w:type="dxa"/>
            <w:hideMark/>
          </w:tcPr>
          <w:p w14:paraId="10672A73"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273" w:type="dxa"/>
            <w:hideMark/>
          </w:tcPr>
          <w:p w14:paraId="60D4275C"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058" w:type="dxa"/>
            <w:hideMark/>
          </w:tcPr>
          <w:p w14:paraId="45F6ED5B"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r>
    </w:tbl>
    <w:p w14:paraId="72069F1A" w14:textId="77777777" w:rsidR="00CD6BB4" w:rsidRPr="00074369" w:rsidRDefault="00CD6BB4" w:rsidP="00CD6BB4">
      <w:pPr>
        <w:pStyle w:val="Fuente"/>
      </w:pPr>
      <w:r w:rsidRPr="00074369">
        <w:t>Fuente: Elaboración propia, 2019</w:t>
      </w:r>
    </w:p>
    <w:p w14:paraId="74A57313" w14:textId="6D76649D" w:rsidR="00CD6BB4" w:rsidRPr="00074369" w:rsidRDefault="00CD6BB4" w:rsidP="00074369">
      <w:r w:rsidRPr="00074369">
        <w:t>La especificación del modelo SAR</w:t>
      </w:r>
      <w:r w:rsidR="006000E8" w:rsidRPr="00074369">
        <w:t>/SDM</w:t>
      </w:r>
      <w:r w:rsidRPr="00074369">
        <w:t xml:space="preserve"> permite estimar los efectos sobre la variable dependiente de una estación debido al cambio de una variable independiente de sus vecinos. Estos efectos indirecto o </w:t>
      </w:r>
      <w:proofErr w:type="spellStart"/>
      <w:r w:rsidRPr="00074369">
        <w:rPr>
          <w:i/>
        </w:rPr>
        <w:t>spill-overs</w:t>
      </w:r>
      <w:proofErr w:type="spellEnd"/>
      <w:r w:rsidRPr="00074369">
        <w:t xml:space="preserve">, son cero por construcción en el modelo lineal sin dependencia espacial. </w:t>
      </w:r>
      <w:r w:rsidR="006000E8" w:rsidRPr="00074369">
        <w:t xml:space="preserve">En las tablas </w:t>
      </w:r>
      <w:r w:rsidR="006000E8" w:rsidRPr="00074369">
        <w:fldChar w:fldCharType="begin"/>
      </w:r>
      <w:r w:rsidR="006000E8" w:rsidRPr="00074369">
        <w:instrText xml:space="preserve"> REF _Ref9168200 \# 0 \h </w:instrText>
      </w:r>
      <w:r w:rsidR="006000E8" w:rsidRPr="00074369">
        <w:fldChar w:fldCharType="separate"/>
      </w:r>
      <w:r w:rsidR="004C0429">
        <w:t>14</w:t>
      </w:r>
      <w:r w:rsidR="006000E8" w:rsidRPr="00074369">
        <w:fldChar w:fldCharType="end"/>
      </w:r>
      <w:r w:rsidR="006000E8" w:rsidRPr="00074369">
        <w:t xml:space="preserve"> y </w:t>
      </w:r>
      <w:r w:rsidR="006000E8" w:rsidRPr="00074369">
        <w:fldChar w:fldCharType="begin"/>
      </w:r>
      <w:r w:rsidR="006000E8" w:rsidRPr="00074369">
        <w:instrText xml:space="preserve"> REF _Ref9168201 \# 0 \h </w:instrText>
      </w:r>
      <w:r w:rsidR="006000E8" w:rsidRPr="00074369">
        <w:fldChar w:fldCharType="separate"/>
      </w:r>
      <w:r w:rsidR="004C0429">
        <w:t>15</w:t>
      </w:r>
      <w:r w:rsidR="006000E8" w:rsidRPr="00074369">
        <w:fldChar w:fldCharType="end"/>
      </w:r>
      <w:r w:rsidRPr="00074369">
        <w:fldChar w:fldCharType="begin"/>
      </w:r>
      <w:r w:rsidRPr="00074369">
        <w:instrText xml:space="preserve"> REF _Ref6344719 \h </w:instrText>
      </w:r>
      <w:r w:rsidRPr="00074369">
        <w:fldChar w:fldCharType="end"/>
      </w:r>
      <w:r w:rsidR="008C47A7">
        <w:t xml:space="preserve"> </w:t>
      </w:r>
      <w:r w:rsidRPr="00074369">
        <w:t xml:space="preserve">se puede </w:t>
      </w:r>
      <w:r w:rsidR="00F81750">
        <w:t>apreciar</w:t>
      </w:r>
      <w:r w:rsidRPr="00074369">
        <w:t xml:space="preserve"> que estos efectos para las variables de marca son positivos y significativos,  por lo que tener por vecinos a estaciones asociadas a marcas se correlaciona con mayores precios en la estación.</w:t>
      </w:r>
    </w:p>
    <w:p w14:paraId="3E74A0A6" w14:textId="263E2F30" w:rsidR="00CD6BB4" w:rsidRPr="00074369" w:rsidRDefault="00CD6BB4" w:rsidP="00944453">
      <w:r w:rsidRPr="00074369">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w:t>
      </w:r>
      <w:r w:rsidRPr="00074369">
        <w:lastRenderedPageBreak/>
        <w:t xml:space="preserve">extensión menor que distritos (tractos del censo en caso de los EE.UU.), sin embargo, esta información no se encuentra disponible para Lima. </w:t>
      </w:r>
      <w:r w:rsidRPr="00074369">
        <w:br w:type="page"/>
      </w:r>
    </w:p>
    <w:p w14:paraId="5863AF65" w14:textId="6AEA6D6B" w:rsidR="005104A3" w:rsidRPr="00E72124" w:rsidRDefault="005104A3" w:rsidP="00A314E8">
      <w:pPr>
        <w:pStyle w:val="Ttulo1"/>
        <w:numPr>
          <w:ilvl w:val="0"/>
          <w:numId w:val="0"/>
        </w:numPr>
      </w:pPr>
      <w:bookmarkStart w:id="220" w:name="_Toc11179129"/>
      <w:r w:rsidRPr="00E72124">
        <w:lastRenderedPageBreak/>
        <w:t>Bibliografía</w:t>
      </w:r>
      <w:bookmarkEnd w:id="220"/>
    </w:p>
    <w:p w14:paraId="01843A16" w14:textId="77777777" w:rsidR="008745FE" w:rsidRPr="008745FE" w:rsidRDefault="005104A3" w:rsidP="008745FE">
      <w:pPr>
        <w:pStyle w:val="Bibliografa"/>
        <w:rPr>
          <w:rFonts w:ascii="Times New Roman" w:hAnsi="Times New Roman"/>
          <w:lang w:val="en-US"/>
        </w:rPr>
      </w:pPr>
      <w:r w:rsidRPr="00074369">
        <w:fldChar w:fldCharType="begin"/>
      </w:r>
      <w:r w:rsidR="00355C59" w:rsidRPr="00F256B3">
        <w:instrText xml:space="preserve"> ADDIN ZOTERO_BIBL {"uncited":[],"omitted":[],"custom":[]} CSL_BIBLIOGRAPHY </w:instrText>
      </w:r>
      <w:r w:rsidRPr="00074369">
        <w:fldChar w:fldCharType="separate"/>
      </w:r>
      <w:proofErr w:type="spellStart"/>
      <w:r w:rsidR="008745FE" w:rsidRPr="00F256B3">
        <w:rPr>
          <w:rFonts w:ascii="Times New Roman" w:hAnsi="Times New Roman"/>
        </w:rPr>
        <w:t>Anselin</w:t>
      </w:r>
      <w:proofErr w:type="spellEnd"/>
      <w:r w:rsidR="008745FE" w:rsidRPr="00F256B3">
        <w:rPr>
          <w:rFonts w:ascii="Times New Roman" w:hAnsi="Times New Roman"/>
        </w:rPr>
        <w:t xml:space="preserve">, L., </w:t>
      </w:r>
      <w:proofErr w:type="spellStart"/>
      <w:r w:rsidR="008745FE" w:rsidRPr="00F256B3">
        <w:rPr>
          <w:rFonts w:ascii="Times New Roman" w:hAnsi="Times New Roman"/>
        </w:rPr>
        <w:t>Bera</w:t>
      </w:r>
      <w:proofErr w:type="spellEnd"/>
      <w:r w:rsidR="008745FE" w:rsidRPr="00F256B3">
        <w:rPr>
          <w:rFonts w:ascii="Times New Roman" w:hAnsi="Times New Roman"/>
        </w:rPr>
        <w:t xml:space="preserve">, A. K., </w:t>
      </w:r>
      <w:proofErr w:type="spellStart"/>
      <w:r w:rsidR="008745FE" w:rsidRPr="00F256B3">
        <w:rPr>
          <w:rFonts w:ascii="Times New Roman" w:hAnsi="Times New Roman"/>
        </w:rPr>
        <w:t>Florax</w:t>
      </w:r>
      <w:proofErr w:type="spellEnd"/>
      <w:r w:rsidR="008745FE" w:rsidRPr="00F256B3">
        <w:rPr>
          <w:rFonts w:ascii="Times New Roman" w:hAnsi="Times New Roman"/>
        </w:rPr>
        <w:t xml:space="preserve">, R., y </w:t>
      </w:r>
      <w:proofErr w:type="spellStart"/>
      <w:r w:rsidR="008745FE" w:rsidRPr="00F256B3">
        <w:rPr>
          <w:rFonts w:ascii="Times New Roman" w:hAnsi="Times New Roman"/>
        </w:rPr>
        <w:t>Yoon</w:t>
      </w:r>
      <w:proofErr w:type="spellEnd"/>
      <w:r w:rsidR="008745FE" w:rsidRPr="00F256B3">
        <w:rPr>
          <w:rFonts w:ascii="Times New Roman" w:hAnsi="Times New Roman"/>
        </w:rPr>
        <w:t xml:space="preserve">, M. J. (1996). </w:t>
      </w:r>
      <w:r w:rsidR="008745FE" w:rsidRPr="008745FE">
        <w:rPr>
          <w:rFonts w:ascii="Times New Roman" w:hAnsi="Times New Roman"/>
          <w:lang w:val="en-US"/>
        </w:rPr>
        <w:t xml:space="preserve">Simple diagnostic tests for spatial dependence. </w:t>
      </w:r>
      <w:r w:rsidR="008745FE" w:rsidRPr="008745FE">
        <w:rPr>
          <w:rFonts w:ascii="Times New Roman" w:hAnsi="Times New Roman"/>
          <w:i/>
          <w:iCs/>
          <w:lang w:val="en-US"/>
        </w:rPr>
        <w:t>Regional Science and Urban Economics</w:t>
      </w:r>
      <w:r w:rsidR="008745FE" w:rsidRPr="008745FE">
        <w:rPr>
          <w:rFonts w:ascii="Times New Roman" w:hAnsi="Times New Roman"/>
          <w:lang w:val="en-US"/>
        </w:rPr>
        <w:t xml:space="preserve">, </w:t>
      </w:r>
      <w:r w:rsidR="008745FE" w:rsidRPr="008745FE">
        <w:rPr>
          <w:rFonts w:ascii="Times New Roman" w:hAnsi="Times New Roman"/>
          <w:i/>
          <w:iCs/>
          <w:lang w:val="en-US"/>
        </w:rPr>
        <w:t>26</w:t>
      </w:r>
      <w:r w:rsidR="008745FE" w:rsidRPr="008745FE">
        <w:rPr>
          <w:rFonts w:ascii="Times New Roman" w:hAnsi="Times New Roman"/>
          <w:lang w:val="en-US"/>
        </w:rPr>
        <w:t>(1), 77-104. https://doi.org/10.1016/0166-0462(95)02111-6</w:t>
      </w:r>
    </w:p>
    <w:p w14:paraId="48B50CAC"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Ashenfelter, O., y Hosken, D. (2010). The Effect of Mergers on Consumer Prices: Evidence from Five Mergers on the Enforcement Margin. </w:t>
      </w:r>
      <w:r w:rsidRPr="008745FE">
        <w:rPr>
          <w:rFonts w:ascii="Times New Roman" w:hAnsi="Times New Roman"/>
          <w:i/>
          <w:iCs/>
          <w:lang w:val="en-US"/>
        </w:rPr>
        <w:t>The Journal of Law and Economics</w:t>
      </w:r>
      <w:r w:rsidRPr="008745FE">
        <w:rPr>
          <w:rFonts w:ascii="Times New Roman" w:hAnsi="Times New Roman"/>
          <w:lang w:val="en-US"/>
        </w:rPr>
        <w:t xml:space="preserve">, </w:t>
      </w:r>
      <w:r w:rsidRPr="008745FE">
        <w:rPr>
          <w:rFonts w:ascii="Times New Roman" w:hAnsi="Times New Roman"/>
          <w:i/>
          <w:iCs/>
          <w:lang w:val="en-US"/>
        </w:rPr>
        <w:t>53</w:t>
      </w:r>
      <w:r w:rsidRPr="008745FE">
        <w:rPr>
          <w:rFonts w:ascii="Times New Roman" w:hAnsi="Times New Roman"/>
          <w:lang w:val="en-US"/>
        </w:rPr>
        <w:t>(3), 417-466. https://doi.org/10.1086/605092</w:t>
      </w:r>
    </w:p>
    <w:p w14:paraId="64B4028B"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Ashenfelter, O., Hosken, D. S., y Weinberg, M. C. (2015). Efficiencies brewed: Pricing and consolidation in the US beer industry. </w:t>
      </w:r>
      <w:r w:rsidRPr="008745FE">
        <w:rPr>
          <w:rFonts w:ascii="Times New Roman" w:hAnsi="Times New Roman"/>
          <w:i/>
          <w:iCs/>
          <w:lang w:val="en-US"/>
        </w:rPr>
        <w:t>The RAND Journal of Economics</w:t>
      </w:r>
      <w:r w:rsidRPr="008745FE">
        <w:rPr>
          <w:rFonts w:ascii="Times New Roman" w:hAnsi="Times New Roman"/>
          <w:lang w:val="en-US"/>
        </w:rPr>
        <w:t xml:space="preserve">, </w:t>
      </w:r>
      <w:r w:rsidRPr="008745FE">
        <w:rPr>
          <w:rFonts w:ascii="Times New Roman" w:hAnsi="Times New Roman"/>
          <w:i/>
          <w:iCs/>
          <w:lang w:val="en-US"/>
        </w:rPr>
        <w:t>46</w:t>
      </w:r>
      <w:r w:rsidRPr="008745FE">
        <w:rPr>
          <w:rFonts w:ascii="Times New Roman" w:hAnsi="Times New Roman"/>
          <w:lang w:val="en-US"/>
        </w:rPr>
        <w:t>(2), 328-361. https://doi.org/10.1111/1756-2171.12092</w:t>
      </w:r>
    </w:p>
    <w:p w14:paraId="68D26E8D"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Ashenfelter, O., Hosken, D., y Weinberg, M. (2014). Did Robert Bork Understate the Competitive Impact of Mergers? Evidence from Consummated Mergers. </w:t>
      </w:r>
      <w:r w:rsidRPr="008745FE">
        <w:rPr>
          <w:rFonts w:ascii="Times New Roman" w:hAnsi="Times New Roman"/>
          <w:i/>
          <w:iCs/>
          <w:lang w:val="en-US"/>
        </w:rPr>
        <w:t>Journal of Law and Economics</w:t>
      </w:r>
      <w:r w:rsidRPr="008745FE">
        <w:rPr>
          <w:rFonts w:ascii="Times New Roman" w:hAnsi="Times New Roman"/>
          <w:lang w:val="en-US"/>
        </w:rPr>
        <w:t xml:space="preserve">, </w:t>
      </w:r>
      <w:r w:rsidRPr="008745FE">
        <w:rPr>
          <w:rFonts w:ascii="Times New Roman" w:hAnsi="Times New Roman"/>
          <w:i/>
          <w:iCs/>
          <w:lang w:val="en-US"/>
        </w:rPr>
        <w:t>57</w:t>
      </w:r>
      <w:r w:rsidRPr="008745FE">
        <w:rPr>
          <w:rFonts w:ascii="Times New Roman" w:hAnsi="Times New Roman"/>
          <w:lang w:val="en-US"/>
        </w:rPr>
        <w:t>, 34.</w:t>
      </w:r>
    </w:p>
    <w:p w14:paraId="6BE8122D" w14:textId="77777777" w:rsidR="008745FE" w:rsidRPr="008745FE" w:rsidRDefault="008745FE" w:rsidP="008745FE">
      <w:pPr>
        <w:pStyle w:val="Bibliografa"/>
        <w:rPr>
          <w:rFonts w:ascii="Times New Roman" w:hAnsi="Times New Roman"/>
        </w:rPr>
      </w:pPr>
      <w:r w:rsidRPr="008745FE">
        <w:rPr>
          <w:rFonts w:ascii="Times New Roman" w:hAnsi="Times New Roman"/>
          <w:lang w:val="en-US"/>
        </w:rPr>
        <w:t xml:space="preserve">Aurazo Iglesias, J. G., y Rojas Milla, P. C. (2018). </w:t>
      </w:r>
      <w:r w:rsidRPr="008745FE">
        <w:rPr>
          <w:rFonts w:ascii="Times New Roman" w:hAnsi="Times New Roman"/>
          <w:i/>
          <w:iCs/>
        </w:rPr>
        <w:t xml:space="preserve">Modelo de competencia espacial: Una aplicación al mercado </w:t>
      </w:r>
      <w:proofErr w:type="spellStart"/>
      <w:r w:rsidRPr="008745FE">
        <w:rPr>
          <w:rFonts w:ascii="Times New Roman" w:hAnsi="Times New Roman"/>
          <w:i/>
          <w:iCs/>
        </w:rPr>
        <w:t>retail</w:t>
      </w:r>
      <w:proofErr w:type="spellEnd"/>
      <w:r w:rsidRPr="008745FE">
        <w:rPr>
          <w:rFonts w:ascii="Times New Roman" w:hAnsi="Times New Roman"/>
          <w:i/>
          <w:iCs/>
        </w:rPr>
        <w:t xml:space="preserve"> del GNV en el Perú</w:t>
      </w:r>
      <w:r w:rsidRPr="008745FE">
        <w:rPr>
          <w:rFonts w:ascii="Times New Roman" w:hAnsi="Times New Roman"/>
        </w:rPr>
        <w:t>. Perú.</w:t>
      </w:r>
    </w:p>
    <w:p w14:paraId="410E4B53"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rPr>
        <w:t>Casarin</w:t>
      </w:r>
      <w:proofErr w:type="spellEnd"/>
      <w:r w:rsidRPr="008745FE">
        <w:rPr>
          <w:rFonts w:ascii="Times New Roman" w:hAnsi="Times New Roman"/>
        </w:rPr>
        <w:t xml:space="preserve">, A. A., Cornejo, M., y Delfino, M. E. (2020). </w:t>
      </w:r>
      <w:r w:rsidRPr="008745FE">
        <w:rPr>
          <w:rFonts w:ascii="Times New Roman" w:hAnsi="Times New Roman"/>
          <w:lang w:val="en-US"/>
        </w:rPr>
        <w:t xml:space="preserve">Market Power Absent Merger Review: Brewing in Perú. </w:t>
      </w:r>
      <w:r w:rsidRPr="008745FE">
        <w:rPr>
          <w:rFonts w:ascii="Times New Roman" w:hAnsi="Times New Roman"/>
          <w:i/>
          <w:iCs/>
          <w:lang w:val="en-US"/>
        </w:rPr>
        <w:t>Review of Industrial Organization</w:t>
      </w:r>
      <w:r w:rsidRPr="008745FE">
        <w:rPr>
          <w:rFonts w:ascii="Times New Roman" w:hAnsi="Times New Roman"/>
          <w:lang w:val="en-US"/>
        </w:rPr>
        <w:t xml:space="preserve">, </w:t>
      </w:r>
      <w:r w:rsidRPr="008745FE">
        <w:rPr>
          <w:rFonts w:ascii="Times New Roman" w:hAnsi="Times New Roman"/>
          <w:i/>
          <w:iCs/>
          <w:lang w:val="en-US"/>
        </w:rPr>
        <w:t>56</w:t>
      </w:r>
      <w:r w:rsidRPr="008745FE">
        <w:rPr>
          <w:rFonts w:ascii="Times New Roman" w:hAnsi="Times New Roman"/>
          <w:lang w:val="en-US"/>
        </w:rPr>
        <w:t>(3), 535-556. https://doi.org/10.1007/s11151-019-09703-8</w:t>
      </w:r>
    </w:p>
    <w:p w14:paraId="5C6C761C"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Chouinard, H. H., y Perloff, J. M. (2007). Gasoline Price Differences: Taxes, Pollution Regulations, Mergers, Market Power, and Market Conditions. </w:t>
      </w:r>
      <w:r w:rsidRPr="008745FE">
        <w:rPr>
          <w:rFonts w:ascii="Times New Roman" w:hAnsi="Times New Roman"/>
          <w:i/>
          <w:iCs/>
          <w:lang w:val="en-US"/>
        </w:rPr>
        <w:t>The B.E. Journal of Economic Analysis &amp; Policy</w:t>
      </w:r>
      <w:r w:rsidRPr="008745FE">
        <w:rPr>
          <w:rFonts w:ascii="Times New Roman" w:hAnsi="Times New Roman"/>
          <w:lang w:val="en-US"/>
        </w:rPr>
        <w:t xml:space="preserve">, </w:t>
      </w:r>
      <w:r w:rsidRPr="008745FE">
        <w:rPr>
          <w:rFonts w:ascii="Times New Roman" w:hAnsi="Times New Roman"/>
          <w:i/>
          <w:iCs/>
          <w:lang w:val="en-US"/>
        </w:rPr>
        <w:t>7</w:t>
      </w:r>
      <w:r w:rsidRPr="008745FE">
        <w:rPr>
          <w:rFonts w:ascii="Times New Roman" w:hAnsi="Times New Roman"/>
          <w:lang w:val="en-US"/>
        </w:rPr>
        <w:t>(1). https://doi.org/10.2202/1935-1682.1599</w:t>
      </w:r>
    </w:p>
    <w:p w14:paraId="47FBEA89"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rPr>
        <w:t>Clemenz</w:t>
      </w:r>
      <w:proofErr w:type="spellEnd"/>
      <w:r w:rsidRPr="008745FE">
        <w:rPr>
          <w:rFonts w:ascii="Times New Roman" w:hAnsi="Times New Roman"/>
        </w:rPr>
        <w:t xml:space="preserve">, G., y </w:t>
      </w:r>
      <w:proofErr w:type="spellStart"/>
      <w:r w:rsidRPr="008745FE">
        <w:rPr>
          <w:rFonts w:ascii="Times New Roman" w:hAnsi="Times New Roman"/>
        </w:rPr>
        <w:t>Gugler</w:t>
      </w:r>
      <w:proofErr w:type="spellEnd"/>
      <w:r w:rsidRPr="008745FE">
        <w:rPr>
          <w:rFonts w:ascii="Times New Roman" w:hAnsi="Times New Roman"/>
        </w:rPr>
        <w:t xml:space="preserve">, K. (2006). </w:t>
      </w:r>
      <w:r w:rsidRPr="008745FE">
        <w:rPr>
          <w:rFonts w:ascii="Times New Roman" w:hAnsi="Times New Roman"/>
          <w:lang w:val="en-US"/>
        </w:rPr>
        <w:t xml:space="preserve">Locational choice and price competition: Some empirical results for the </w:t>
      </w:r>
      <w:proofErr w:type="spellStart"/>
      <w:r w:rsidRPr="008745FE">
        <w:rPr>
          <w:rFonts w:ascii="Times New Roman" w:hAnsi="Times New Roman"/>
          <w:lang w:val="en-US"/>
        </w:rPr>
        <w:t>austrian</w:t>
      </w:r>
      <w:proofErr w:type="spellEnd"/>
      <w:r w:rsidRPr="008745FE">
        <w:rPr>
          <w:rFonts w:ascii="Times New Roman" w:hAnsi="Times New Roman"/>
          <w:lang w:val="en-US"/>
        </w:rPr>
        <w:t xml:space="preserve"> retail gasoline market. </w:t>
      </w:r>
      <w:r w:rsidRPr="008745FE">
        <w:rPr>
          <w:rFonts w:ascii="Times New Roman" w:hAnsi="Times New Roman"/>
          <w:i/>
          <w:iCs/>
          <w:lang w:val="en-US"/>
        </w:rPr>
        <w:t>Empirical Economics</w:t>
      </w:r>
      <w:r w:rsidRPr="008745FE">
        <w:rPr>
          <w:rFonts w:ascii="Times New Roman" w:hAnsi="Times New Roman"/>
          <w:lang w:val="en-US"/>
        </w:rPr>
        <w:t xml:space="preserve">, </w:t>
      </w:r>
      <w:r w:rsidRPr="008745FE">
        <w:rPr>
          <w:rFonts w:ascii="Times New Roman" w:hAnsi="Times New Roman"/>
          <w:i/>
          <w:iCs/>
          <w:lang w:val="en-US"/>
        </w:rPr>
        <w:t>31</w:t>
      </w:r>
      <w:r w:rsidRPr="008745FE">
        <w:rPr>
          <w:rFonts w:ascii="Times New Roman" w:hAnsi="Times New Roman"/>
          <w:lang w:val="en-US"/>
        </w:rPr>
        <w:t>(2), 291-312. https://doi.org/10.1007/s00181-005-0016-7</w:t>
      </w:r>
    </w:p>
    <w:p w14:paraId="266165DC"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lastRenderedPageBreak/>
        <w:t xml:space="preserve">Coloma, G. (2002). The Effect of the Repsol-YPF Merger on the Argentine Gasoline Market. </w:t>
      </w:r>
      <w:r w:rsidRPr="008745FE">
        <w:rPr>
          <w:rFonts w:ascii="Times New Roman" w:hAnsi="Times New Roman"/>
          <w:i/>
          <w:iCs/>
          <w:lang w:val="en-US"/>
        </w:rPr>
        <w:t>Review of Industrial Organization</w:t>
      </w:r>
      <w:r w:rsidRPr="008745FE">
        <w:rPr>
          <w:rFonts w:ascii="Times New Roman" w:hAnsi="Times New Roman"/>
          <w:lang w:val="en-US"/>
        </w:rPr>
        <w:t xml:space="preserve">, </w:t>
      </w:r>
      <w:r w:rsidRPr="008745FE">
        <w:rPr>
          <w:rFonts w:ascii="Times New Roman" w:hAnsi="Times New Roman"/>
          <w:i/>
          <w:iCs/>
          <w:lang w:val="en-US"/>
        </w:rPr>
        <w:t>21</w:t>
      </w:r>
      <w:r w:rsidRPr="008745FE">
        <w:rPr>
          <w:rFonts w:ascii="Times New Roman" w:hAnsi="Times New Roman"/>
          <w:lang w:val="en-US"/>
        </w:rPr>
        <w:t>, 399-418.</w:t>
      </w:r>
    </w:p>
    <w:p w14:paraId="018D6578"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Deneckere, R., y Davidson, C. (1985). Incentives to Form Coalitions with Bertrand Competition. </w:t>
      </w:r>
      <w:r w:rsidRPr="008745FE">
        <w:rPr>
          <w:rFonts w:ascii="Times New Roman" w:hAnsi="Times New Roman"/>
          <w:i/>
          <w:iCs/>
          <w:lang w:val="en-US"/>
        </w:rPr>
        <w:t>The RAND Journal of Economics</w:t>
      </w:r>
      <w:r w:rsidRPr="008745FE">
        <w:rPr>
          <w:rFonts w:ascii="Times New Roman" w:hAnsi="Times New Roman"/>
          <w:lang w:val="en-US"/>
        </w:rPr>
        <w:t xml:space="preserve">, </w:t>
      </w:r>
      <w:r w:rsidRPr="008745FE">
        <w:rPr>
          <w:rFonts w:ascii="Times New Roman" w:hAnsi="Times New Roman"/>
          <w:i/>
          <w:iCs/>
          <w:lang w:val="en-US"/>
        </w:rPr>
        <w:t>16</w:t>
      </w:r>
      <w:r w:rsidRPr="008745FE">
        <w:rPr>
          <w:rFonts w:ascii="Times New Roman" w:hAnsi="Times New Roman"/>
          <w:lang w:val="en-US"/>
        </w:rPr>
        <w:t>(4), 473. https://doi.org/10.2307/2555507</w:t>
      </w:r>
    </w:p>
    <w:p w14:paraId="287A5714"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Elhorst</w:t>
      </w:r>
      <w:proofErr w:type="spellEnd"/>
      <w:r w:rsidRPr="008745FE">
        <w:rPr>
          <w:rFonts w:ascii="Times New Roman" w:hAnsi="Times New Roman"/>
          <w:lang w:val="en-US"/>
        </w:rPr>
        <w:t xml:space="preserve">, J. P. (2010). Applied Spatial Econometrics: Raising the Bar. </w:t>
      </w:r>
      <w:r w:rsidRPr="008745FE">
        <w:rPr>
          <w:rFonts w:ascii="Times New Roman" w:hAnsi="Times New Roman"/>
          <w:i/>
          <w:iCs/>
          <w:lang w:val="en-US"/>
        </w:rPr>
        <w:t>Spatial Economic Analysis</w:t>
      </w:r>
      <w:r w:rsidRPr="008745FE">
        <w:rPr>
          <w:rFonts w:ascii="Times New Roman" w:hAnsi="Times New Roman"/>
          <w:lang w:val="en-US"/>
        </w:rPr>
        <w:t xml:space="preserve">, </w:t>
      </w:r>
      <w:r w:rsidRPr="008745FE">
        <w:rPr>
          <w:rFonts w:ascii="Times New Roman" w:hAnsi="Times New Roman"/>
          <w:i/>
          <w:iCs/>
          <w:lang w:val="en-US"/>
        </w:rPr>
        <w:t>5</w:t>
      </w:r>
      <w:r w:rsidRPr="008745FE">
        <w:rPr>
          <w:rFonts w:ascii="Times New Roman" w:hAnsi="Times New Roman"/>
          <w:lang w:val="en-US"/>
        </w:rPr>
        <w:t>(1), 9-28. https://doi.org/10.1080/17421770903541772</w:t>
      </w:r>
    </w:p>
    <w:p w14:paraId="786B73BA"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Elhorst</w:t>
      </w:r>
      <w:proofErr w:type="spellEnd"/>
      <w:r w:rsidRPr="008745FE">
        <w:rPr>
          <w:rFonts w:ascii="Times New Roman" w:hAnsi="Times New Roman"/>
          <w:lang w:val="en-US"/>
        </w:rPr>
        <w:t xml:space="preserve">, J. P. (2014). </w:t>
      </w:r>
      <w:r w:rsidRPr="008745FE">
        <w:rPr>
          <w:rFonts w:ascii="Times New Roman" w:hAnsi="Times New Roman"/>
          <w:i/>
          <w:iCs/>
          <w:lang w:val="en-US"/>
        </w:rPr>
        <w:t>Spatial econometrics: From cross-sectional data to spatial panels</w:t>
      </w:r>
      <w:r w:rsidRPr="008745FE">
        <w:rPr>
          <w:rFonts w:ascii="Times New Roman" w:hAnsi="Times New Roman"/>
          <w:lang w:val="en-US"/>
        </w:rPr>
        <w:t xml:space="preserve"> (Vol. 479). Springer.</w:t>
      </w:r>
    </w:p>
    <w:p w14:paraId="4D43ADA1"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Farrell, J., y Shapiro, C. (1990). Horizontal Mergers: An Equilibrium Analysis. </w:t>
      </w:r>
      <w:r w:rsidRPr="008745FE">
        <w:rPr>
          <w:rFonts w:ascii="Times New Roman" w:hAnsi="Times New Roman"/>
          <w:i/>
          <w:iCs/>
          <w:lang w:val="en-US"/>
        </w:rPr>
        <w:t>The American Economic Review</w:t>
      </w:r>
      <w:r w:rsidRPr="008745FE">
        <w:rPr>
          <w:rFonts w:ascii="Times New Roman" w:hAnsi="Times New Roman"/>
          <w:lang w:val="en-US"/>
        </w:rPr>
        <w:t xml:space="preserve">, </w:t>
      </w:r>
      <w:r w:rsidRPr="008745FE">
        <w:rPr>
          <w:rFonts w:ascii="Times New Roman" w:hAnsi="Times New Roman"/>
          <w:i/>
          <w:iCs/>
          <w:lang w:val="en-US"/>
        </w:rPr>
        <w:t>80</w:t>
      </w:r>
      <w:r w:rsidRPr="008745FE">
        <w:rPr>
          <w:rFonts w:ascii="Times New Roman" w:hAnsi="Times New Roman"/>
          <w:lang w:val="en-US"/>
        </w:rPr>
        <w:t>(1), 107-126.</w:t>
      </w:r>
    </w:p>
    <w:p w14:paraId="3868CFE2"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Hastings, J. S. (2004). Vertical Relationships and Competition in Retail Gasoline Markets: Empirical Evidence from Contract Changes in Southern California. </w:t>
      </w:r>
      <w:r w:rsidRPr="008745FE">
        <w:rPr>
          <w:rFonts w:ascii="Times New Roman" w:hAnsi="Times New Roman"/>
          <w:i/>
          <w:iCs/>
          <w:lang w:val="en-US"/>
        </w:rPr>
        <w:t>The American Economic Review</w:t>
      </w:r>
      <w:r w:rsidRPr="008745FE">
        <w:rPr>
          <w:rFonts w:ascii="Times New Roman" w:hAnsi="Times New Roman"/>
          <w:lang w:val="en-US"/>
        </w:rPr>
        <w:t xml:space="preserve">, </w:t>
      </w:r>
      <w:r w:rsidRPr="008745FE">
        <w:rPr>
          <w:rFonts w:ascii="Times New Roman" w:hAnsi="Times New Roman"/>
          <w:i/>
          <w:iCs/>
          <w:lang w:val="en-US"/>
        </w:rPr>
        <w:t>94</w:t>
      </w:r>
      <w:r w:rsidRPr="008745FE">
        <w:rPr>
          <w:rFonts w:ascii="Times New Roman" w:hAnsi="Times New Roman"/>
          <w:lang w:val="en-US"/>
        </w:rPr>
        <w:t>(1), 317-328.</w:t>
      </w:r>
    </w:p>
    <w:p w14:paraId="27FBD523"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Hogg, S., </w:t>
      </w:r>
      <w:proofErr w:type="spellStart"/>
      <w:r w:rsidRPr="008745FE">
        <w:rPr>
          <w:rFonts w:ascii="Times New Roman" w:hAnsi="Times New Roman"/>
          <w:lang w:val="en-US"/>
        </w:rPr>
        <w:t>Hurn</w:t>
      </w:r>
      <w:proofErr w:type="spellEnd"/>
      <w:r w:rsidRPr="008745FE">
        <w:rPr>
          <w:rFonts w:ascii="Times New Roman" w:hAnsi="Times New Roman"/>
          <w:lang w:val="en-US"/>
        </w:rPr>
        <w:t xml:space="preserve">, S., McDonald, S., y </w:t>
      </w:r>
      <w:proofErr w:type="spellStart"/>
      <w:r w:rsidRPr="008745FE">
        <w:rPr>
          <w:rFonts w:ascii="Times New Roman" w:hAnsi="Times New Roman"/>
          <w:lang w:val="en-US"/>
        </w:rPr>
        <w:t>Rambaldi</w:t>
      </w:r>
      <w:proofErr w:type="spellEnd"/>
      <w:r w:rsidRPr="008745FE">
        <w:rPr>
          <w:rFonts w:ascii="Times New Roman" w:hAnsi="Times New Roman"/>
          <w:lang w:val="en-US"/>
        </w:rPr>
        <w:t xml:space="preserve">, A. (2012). </w:t>
      </w:r>
      <w:r w:rsidRPr="008745FE">
        <w:rPr>
          <w:rFonts w:ascii="Times New Roman" w:hAnsi="Times New Roman"/>
          <w:i/>
          <w:iCs/>
          <w:lang w:val="en-US"/>
        </w:rPr>
        <w:t>A Spatial Econometric Analysis of the E</w:t>
      </w:r>
      <w:r w:rsidRPr="008745FE">
        <w:rPr>
          <w:rFonts w:ascii="Times New Roman" w:hAnsi="Times New Roman"/>
          <w:i/>
          <w:iCs/>
        </w:rPr>
        <w:t>ﬀ</w:t>
      </w:r>
      <w:proofErr w:type="spellStart"/>
      <w:r w:rsidRPr="008745FE">
        <w:rPr>
          <w:rFonts w:ascii="Times New Roman" w:hAnsi="Times New Roman"/>
          <w:i/>
          <w:iCs/>
          <w:lang w:val="en-US"/>
        </w:rPr>
        <w:t>ect</w:t>
      </w:r>
      <w:proofErr w:type="spellEnd"/>
      <w:r w:rsidRPr="008745FE">
        <w:rPr>
          <w:rFonts w:ascii="Times New Roman" w:hAnsi="Times New Roman"/>
          <w:i/>
          <w:iCs/>
          <w:lang w:val="en-US"/>
        </w:rPr>
        <w:t xml:space="preserve"> of Vertical Restraints and Branding on Retail Gasoline Pricing</w:t>
      </w:r>
      <w:r w:rsidRPr="008745FE">
        <w:rPr>
          <w:rFonts w:ascii="Times New Roman" w:hAnsi="Times New Roman"/>
          <w:lang w:val="en-US"/>
        </w:rPr>
        <w:t xml:space="preserve"> (</w:t>
      </w:r>
      <w:proofErr w:type="spellStart"/>
      <w:r w:rsidRPr="008745FE">
        <w:rPr>
          <w:rFonts w:ascii="Times New Roman" w:hAnsi="Times New Roman"/>
          <w:lang w:val="en-US"/>
        </w:rPr>
        <w:t>N.</w:t>
      </w:r>
      <w:r w:rsidRPr="008745FE">
        <w:rPr>
          <w:rFonts w:ascii="Times New Roman" w:hAnsi="Times New Roman"/>
          <w:vertAlign w:val="superscript"/>
          <w:lang w:val="en-US"/>
        </w:rPr>
        <w:t>o</w:t>
      </w:r>
      <w:proofErr w:type="spellEnd"/>
      <w:r w:rsidRPr="008745FE">
        <w:rPr>
          <w:rFonts w:ascii="Times New Roman" w:hAnsi="Times New Roman"/>
          <w:lang w:val="en-US"/>
        </w:rPr>
        <w:t xml:space="preserve"> 86; NCER Working Paper Series). National Centre for Econometric Research.</w:t>
      </w:r>
    </w:p>
    <w:p w14:paraId="032C76DC"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Houde</w:t>
      </w:r>
      <w:proofErr w:type="spellEnd"/>
      <w:r w:rsidRPr="008745FE">
        <w:rPr>
          <w:rFonts w:ascii="Times New Roman" w:hAnsi="Times New Roman"/>
          <w:lang w:val="en-US"/>
        </w:rPr>
        <w:t xml:space="preserve">, J.-F. (2012). Spatial Differentiation and Vertical Mergers in Retail Markets for Gasoline. </w:t>
      </w:r>
      <w:r w:rsidRPr="008745FE">
        <w:rPr>
          <w:rFonts w:ascii="Times New Roman" w:hAnsi="Times New Roman"/>
          <w:i/>
          <w:iCs/>
          <w:lang w:val="en-US"/>
        </w:rPr>
        <w:t>American Economic Review</w:t>
      </w:r>
      <w:r w:rsidRPr="008745FE">
        <w:rPr>
          <w:rFonts w:ascii="Times New Roman" w:hAnsi="Times New Roman"/>
          <w:lang w:val="en-US"/>
        </w:rPr>
        <w:t xml:space="preserve">, </w:t>
      </w:r>
      <w:r w:rsidRPr="008745FE">
        <w:rPr>
          <w:rFonts w:ascii="Times New Roman" w:hAnsi="Times New Roman"/>
          <w:i/>
          <w:iCs/>
          <w:lang w:val="en-US"/>
        </w:rPr>
        <w:t>102</w:t>
      </w:r>
      <w:r w:rsidRPr="008745FE">
        <w:rPr>
          <w:rFonts w:ascii="Times New Roman" w:hAnsi="Times New Roman"/>
          <w:lang w:val="en-US"/>
        </w:rPr>
        <w:t>(5), 2147-2182. https://doi.org/10.1257/aer.102.5.2147</w:t>
      </w:r>
    </w:p>
    <w:p w14:paraId="5BD892EA" w14:textId="77777777" w:rsidR="008745FE" w:rsidRPr="008745FE" w:rsidRDefault="008745FE" w:rsidP="008745FE">
      <w:pPr>
        <w:pStyle w:val="Bibliografa"/>
        <w:rPr>
          <w:rFonts w:ascii="Times New Roman" w:hAnsi="Times New Roman"/>
        </w:rPr>
      </w:pPr>
      <w:proofErr w:type="spellStart"/>
      <w:r w:rsidRPr="008745FE">
        <w:rPr>
          <w:rFonts w:ascii="Times New Roman" w:hAnsi="Times New Roman"/>
          <w:lang w:val="en-US"/>
        </w:rPr>
        <w:t>Jacquemin</w:t>
      </w:r>
      <w:proofErr w:type="spellEnd"/>
      <w:r w:rsidRPr="008745FE">
        <w:rPr>
          <w:rFonts w:ascii="Times New Roman" w:hAnsi="Times New Roman"/>
          <w:lang w:val="en-US"/>
        </w:rPr>
        <w:t xml:space="preserve">, A., y Slade, M. E. (1989). Cartels, collusion, and horizontal merger. </w:t>
      </w:r>
      <w:proofErr w:type="spellStart"/>
      <w:r w:rsidRPr="008745FE">
        <w:rPr>
          <w:rFonts w:ascii="Times New Roman" w:hAnsi="Times New Roman"/>
          <w:i/>
          <w:iCs/>
        </w:rPr>
        <w:t>Handbook</w:t>
      </w:r>
      <w:proofErr w:type="spellEnd"/>
      <w:r w:rsidRPr="008745FE">
        <w:rPr>
          <w:rFonts w:ascii="Times New Roman" w:hAnsi="Times New Roman"/>
          <w:i/>
          <w:iCs/>
        </w:rPr>
        <w:t xml:space="preserve"> </w:t>
      </w:r>
      <w:proofErr w:type="spellStart"/>
      <w:r w:rsidRPr="008745FE">
        <w:rPr>
          <w:rFonts w:ascii="Times New Roman" w:hAnsi="Times New Roman"/>
          <w:i/>
          <w:iCs/>
        </w:rPr>
        <w:t>of</w:t>
      </w:r>
      <w:proofErr w:type="spellEnd"/>
      <w:r w:rsidRPr="008745FE">
        <w:rPr>
          <w:rFonts w:ascii="Times New Roman" w:hAnsi="Times New Roman"/>
          <w:i/>
          <w:iCs/>
        </w:rPr>
        <w:t xml:space="preserve"> industrial </w:t>
      </w:r>
      <w:proofErr w:type="spellStart"/>
      <w:r w:rsidRPr="008745FE">
        <w:rPr>
          <w:rFonts w:ascii="Times New Roman" w:hAnsi="Times New Roman"/>
          <w:i/>
          <w:iCs/>
        </w:rPr>
        <w:t>organization</w:t>
      </w:r>
      <w:proofErr w:type="spellEnd"/>
      <w:r w:rsidRPr="008745FE">
        <w:rPr>
          <w:rFonts w:ascii="Times New Roman" w:hAnsi="Times New Roman"/>
        </w:rPr>
        <w:t xml:space="preserve">, </w:t>
      </w:r>
      <w:r w:rsidRPr="008745FE">
        <w:rPr>
          <w:rFonts w:ascii="Times New Roman" w:hAnsi="Times New Roman"/>
          <w:i/>
          <w:iCs/>
        </w:rPr>
        <w:t>1</w:t>
      </w:r>
      <w:r w:rsidRPr="008745FE">
        <w:rPr>
          <w:rFonts w:ascii="Times New Roman" w:hAnsi="Times New Roman"/>
        </w:rPr>
        <w:t>, 415-473.</w:t>
      </w:r>
    </w:p>
    <w:p w14:paraId="1E88EF4F" w14:textId="77777777" w:rsidR="008745FE" w:rsidRPr="008745FE" w:rsidRDefault="008745FE" w:rsidP="008745FE">
      <w:pPr>
        <w:pStyle w:val="Bibliografa"/>
        <w:rPr>
          <w:rFonts w:ascii="Times New Roman" w:hAnsi="Times New Roman"/>
        </w:rPr>
      </w:pPr>
      <w:r w:rsidRPr="008745FE">
        <w:rPr>
          <w:rFonts w:ascii="Times New Roman" w:hAnsi="Times New Roman"/>
        </w:rPr>
        <w:t xml:space="preserve">La Rosa, L. (2018, febrero 19). Primax: La estrategia tras la adquisición de Pecsa. </w:t>
      </w:r>
      <w:r w:rsidRPr="008745FE">
        <w:rPr>
          <w:rFonts w:ascii="Times New Roman" w:hAnsi="Times New Roman"/>
          <w:i/>
          <w:iCs/>
        </w:rPr>
        <w:t>Semana Económica</w:t>
      </w:r>
      <w:r w:rsidRPr="008745FE">
        <w:rPr>
          <w:rFonts w:ascii="Times New Roman" w:hAnsi="Times New Roman"/>
        </w:rPr>
        <w:t>. http://semanaeconomica.com/article/sectores-y-empresas/energia/267687-primax-la-estrategia-tras-la-adquisicion-de-pecsa/</w:t>
      </w:r>
    </w:p>
    <w:p w14:paraId="06515B15"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Lagos, V. (2018). Effectiveness of Merger Remedies: Evidence from the Retail Gasoline Industry. </w:t>
      </w:r>
      <w:r w:rsidRPr="008745FE">
        <w:rPr>
          <w:rFonts w:ascii="Times New Roman" w:hAnsi="Times New Roman"/>
          <w:i/>
          <w:iCs/>
          <w:lang w:val="en-US"/>
        </w:rPr>
        <w:t>The Journal of Industrial Economics</w:t>
      </w:r>
      <w:r w:rsidRPr="008745FE">
        <w:rPr>
          <w:rFonts w:ascii="Times New Roman" w:hAnsi="Times New Roman"/>
          <w:lang w:val="en-US"/>
        </w:rPr>
        <w:t xml:space="preserve">, </w:t>
      </w:r>
      <w:r w:rsidRPr="008745FE">
        <w:rPr>
          <w:rFonts w:ascii="Times New Roman" w:hAnsi="Times New Roman"/>
          <w:i/>
          <w:iCs/>
          <w:lang w:val="en-US"/>
        </w:rPr>
        <w:t>66</w:t>
      </w:r>
      <w:r w:rsidRPr="008745FE">
        <w:rPr>
          <w:rFonts w:ascii="Times New Roman" w:hAnsi="Times New Roman"/>
          <w:lang w:val="en-US"/>
        </w:rPr>
        <w:t>(4), 942-979. https://doi.org/10.1111/joie.12188</w:t>
      </w:r>
    </w:p>
    <w:p w14:paraId="7A1FDCA3"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LeSage</w:t>
      </w:r>
      <w:proofErr w:type="spellEnd"/>
      <w:r w:rsidRPr="008745FE">
        <w:rPr>
          <w:rFonts w:ascii="Times New Roman" w:hAnsi="Times New Roman"/>
          <w:lang w:val="en-US"/>
        </w:rPr>
        <w:t xml:space="preserve">, J., y Pace, R. K. (2009). </w:t>
      </w:r>
      <w:r w:rsidRPr="008745FE">
        <w:rPr>
          <w:rFonts w:ascii="Times New Roman" w:hAnsi="Times New Roman"/>
          <w:i/>
          <w:iCs/>
          <w:lang w:val="en-US"/>
        </w:rPr>
        <w:t>Introduction to spatial econometrics</w:t>
      </w:r>
      <w:r w:rsidRPr="008745FE">
        <w:rPr>
          <w:rFonts w:ascii="Times New Roman" w:hAnsi="Times New Roman"/>
          <w:lang w:val="en-US"/>
        </w:rPr>
        <w:t>. Chapman and Hall/CRC.</w:t>
      </w:r>
    </w:p>
    <w:p w14:paraId="33605945" w14:textId="77777777" w:rsidR="008745FE" w:rsidRPr="008745FE" w:rsidRDefault="008745FE" w:rsidP="008745FE">
      <w:pPr>
        <w:pStyle w:val="Bibliografa"/>
        <w:rPr>
          <w:rFonts w:ascii="Times New Roman" w:hAnsi="Times New Roman"/>
          <w:lang w:val="en-US"/>
        </w:rPr>
      </w:pPr>
      <w:r w:rsidRPr="008745FE">
        <w:rPr>
          <w:rFonts w:ascii="Times New Roman" w:hAnsi="Times New Roman"/>
        </w:rPr>
        <w:lastRenderedPageBreak/>
        <w:t xml:space="preserve">Levy, D., y Reitzes, J. (1992). </w:t>
      </w:r>
      <w:r w:rsidRPr="008745FE">
        <w:rPr>
          <w:rFonts w:ascii="Times New Roman" w:hAnsi="Times New Roman"/>
          <w:lang w:val="en-US"/>
        </w:rPr>
        <w:t xml:space="preserve">Anticompetitive Effects of Mergers in Markets with Localized Competition. </w:t>
      </w:r>
      <w:r w:rsidRPr="008745FE">
        <w:rPr>
          <w:rFonts w:ascii="Times New Roman" w:hAnsi="Times New Roman"/>
          <w:i/>
          <w:iCs/>
          <w:lang w:val="en-US"/>
        </w:rPr>
        <w:t>The Journal of Law, Economics, and Organization</w:t>
      </w:r>
      <w:r w:rsidRPr="008745FE">
        <w:rPr>
          <w:rFonts w:ascii="Times New Roman" w:hAnsi="Times New Roman"/>
          <w:lang w:val="en-US"/>
        </w:rPr>
        <w:t xml:space="preserve">, </w:t>
      </w:r>
      <w:r w:rsidRPr="008745FE">
        <w:rPr>
          <w:rFonts w:ascii="Times New Roman" w:hAnsi="Times New Roman"/>
          <w:i/>
          <w:iCs/>
          <w:lang w:val="en-US"/>
        </w:rPr>
        <w:t>427</w:t>
      </w:r>
      <w:r w:rsidRPr="008745FE">
        <w:rPr>
          <w:rFonts w:ascii="Times New Roman" w:hAnsi="Times New Roman"/>
          <w:lang w:val="en-US"/>
        </w:rPr>
        <w:t>. https://doi.org/10.1093/oxfordjournals.jleo.a037047</w:t>
      </w:r>
    </w:p>
    <w:p w14:paraId="124D6FE1" w14:textId="77777777" w:rsidR="008745FE" w:rsidRPr="008745FE" w:rsidRDefault="008745FE" w:rsidP="008745FE">
      <w:pPr>
        <w:pStyle w:val="Bibliografa"/>
        <w:rPr>
          <w:rFonts w:ascii="Times New Roman" w:hAnsi="Times New Roman"/>
        </w:rPr>
      </w:pPr>
      <w:r w:rsidRPr="008745FE">
        <w:rPr>
          <w:rFonts w:ascii="Times New Roman" w:hAnsi="Times New Roman"/>
          <w:lang w:val="en-US"/>
        </w:rPr>
        <w:t xml:space="preserve">Miller, N. H., y Weinberg, M. C. (2017). Understanding the Price Effects of the MillerCoors Joint Venture. </w:t>
      </w:r>
      <w:proofErr w:type="spellStart"/>
      <w:r w:rsidRPr="008745FE">
        <w:rPr>
          <w:rFonts w:ascii="Times New Roman" w:hAnsi="Times New Roman"/>
          <w:i/>
          <w:iCs/>
        </w:rPr>
        <w:t>Econometrica</w:t>
      </w:r>
      <w:proofErr w:type="spellEnd"/>
      <w:r w:rsidRPr="008745FE">
        <w:rPr>
          <w:rFonts w:ascii="Times New Roman" w:hAnsi="Times New Roman"/>
        </w:rPr>
        <w:t xml:space="preserve">, </w:t>
      </w:r>
      <w:r w:rsidRPr="008745FE">
        <w:rPr>
          <w:rFonts w:ascii="Times New Roman" w:hAnsi="Times New Roman"/>
          <w:i/>
          <w:iCs/>
        </w:rPr>
        <w:t>85</w:t>
      </w:r>
      <w:r w:rsidRPr="008745FE">
        <w:rPr>
          <w:rFonts w:ascii="Times New Roman" w:hAnsi="Times New Roman"/>
        </w:rPr>
        <w:t>(6), 1763-1791. https://doi.org/10.3982/ECTA13333</w:t>
      </w:r>
    </w:p>
    <w:p w14:paraId="3FC9CCFA" w14:textId="77777777" w:rsidR="008745FE" w:rsidRPr="008745FE" w:rsidRDefault="008745FE" w:rsidP="008745FE">
      <w:pPr>
        <w:pStyle w:val="Bibliografa"/>
        <w:rPr>
          <w:rFonts w:ascii="Times New Roman" w:hAnsi="Times New Roman"/>
        </w:rPr>
      </w:pPr>
      <w:r w:rsidRPr="008745FE">
        <w:rPr>
          <w:rFonts w:ascii="Times New Roman" w:hAnsi="Times New Roman"/>
        </w:rPr>
        <w:t xml:space="preserve">Organismo Supervisor de la Inversión en Energía y Minería. (2015). </w:t>
      </w:r>
      <w:r w:rsidRPr="008745FE">
        <w:rPr>
          <w:rFonts w:ascii="Times New Roman" w:hAnsi="Times New Roman"/>
          <w:i/>
          <w:iCs/>
        </w:rPr>
        <w:t>La industria de los hidrocarburos líquidos en el Perú: 20 años de aporte al desarrollo del país</w:t>
      </w:r>
      <w:r w:rsidRPr="008745FE">
        <w:rPr>
          <w:rFonts w:ascii="Times New Roman" w:hAnsi="Times New Roman"/>
        </w:rPr>
        <w:t>. http://www.osinergmin.gob.pe/seccion/centro_documental/Institucional/Estudios_Economicos/Libros/Libro-industria-hidrocarburos-liquidos-Peru.pdf</w:t>
      </w:r>
    </w:p>
    <w:p w14:paraId="3BC95C2D"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Pennerstorfer</w:t>
      </w:r>
      <w:proofErr w:type="spellEnd"/>
      <w:r w:rsidRPr="008745FE">
        <w:rPr>
          <w:rFonts w:ascii="Times New Roman" w:hAnsi="Times New Roman"/>
          <w:lang w:val="en-US"/>
        </w:rPr>
        <w:t xml:space="preserve">, D. (2009). Spatial price competition in retail gasoline markets: Evidence from Austria. </w:t>
      </w:r>
      <w:r w:rsidRPr="008745FE">
        <w:rPr>
          <w:rFonts w:ascii="Times New Roman" w:hAnsi="Times New Roman"/>
          <w:i/>
          <w:iCs/>
          <w:lang w:val="en-US"/>
        </w:rPr>
        <w:t>The Annals of Regional Science</w:t>
      </w:r>
      <w:r w:rsidRPr="008745FE">
        <w:rPr>
          <w:rFonts w:ascii="Times New Roman" w:hAnsi="Times New Roman"/>
          <w:lang w:val="en-US"/>
        </w:rPr>
        <w:t xml:space="preserve">, </w:t>
      </w:r>
      <w:r w:rsidRPr="008745FE">
        <w:rPr>
          <w:rFonts w:ascii="Times New Roman" w:hAnsi="Times New Roman"/>
          <w:i/>
          <w:iCs/>
          <w:lang w:val="en-US"/>
        </w:rPr>
        <w:t>43</w:t>
      </w:r>
      <w:r w:rsidRPr="008745FE">
        <w:rPr>
          <w:rFonts w:ascii="Times New Roman" w:hAnsi="Times New Roman"/>
          <w:lang w:val="en-US"/>
        </w:rPr>
        <w:t>(1), 133-158. https://doi.org/10.1007/s00168-007-0206-7</w:t>
      </w:r>
    </w:p>
    <w:p w14:paraId="36E1FD85" w14:textId="77777777" w:rsidR="008745FE" w:rsidRPr="008745FE" w:rsidRDefault="008745FE" w:rsidP="008745FE">
      <w:pPr>
        <w:pStyle w:val="Bibliografa"/>
        <w:rPr>
          <w:rFonts w:ascii="Times New Roman" w:hAnsi="Times New Roman"/>
          <w:lang w:val="en-US"/>
        </w:rPr>
      </w:pPr>
      <w:proofErr w:type="spellStart"/>
      <w:r w:rsidRPr="008745FE">
        <w:rPr>
          <w:rFonts w:ascii="Times New Roman" w:hAnsi="Times New Roman"/>
          <w:lang w:val="en-US"/>
        </w:rPr>
        <w:t>Pennerstorfer</w:t>
      </w:r>
      <w:proofErr w:type="spellEnd"/>
      <w:r w:rsidRPr="008745FE">
        <w:rPr>
          <w:rFonts w:ascii="Times New Roman" w:hAnsi="Times New Roman"/>
          <w:lang w:val="en-US"/>
        </w:rPr>
        <w:t xml:space="preserve">, D., y Weiss, C. (2013). Spatial clustering and market power: Evidence from the retail gasoline market. </w:t>
      </w:r>
      <w:r w:rsidRPr="008745FE">
        <w:rPr>
          <w:rFonts w:ascii="Times New Roman" w:hAnsi="Times New Roman"/>
          <w:i/>
          <w:iCs/>
          <w:lang w:val="en-US"/>
        </w:rPr>
        <w:t>Regional Science and Urban Economics</w:t>
      </w:r>
      <w:r w:rsidRPr="008745FE">
        <w:rPr>
          <w:rFonts w:ascii="Times New Roman" w:hAnsi="Times New Roman"/>
          <w:lang w:val="en-US"/>
        </w:rPr>
        <w:t xml:space="preserve">, </w:t>
      </w:r>
      <w:r w:rsidRPr="008745FE">
        <w:rPr>
          <w:rFonts w:ascii="Times New Roman" w:hAnsi="Times New Roman"/>
          <w:i/>
          <w:iCs/>
          <w:lang w:val="en-US"/>
        </w:rPr>
        <w:t>43</w:t>
      </w:r>
      <w:r w:rsidRPr="008745FE">
        <w:rPr>
          <w:rFonts w:ascii="Times New Roman" w:hAnsi="Times New Roman"/>
          <w:lang w:val="en-US"/>
        </w:rPr>
        <w:t>(4), 661-675. https://doi.org/10.1016/j.regsciurbeco.2013.04.002</w:t>
      </w:r>
    </w:p>
    <w:p w14:paraId="16C7A29F" w14:textId="77777777" w:rsidR="008745FE" w:rsidRPr="008745FE" w:rsidRDefault="008745FE" w:rsidP="008745FE">
      <w:pPr>
        <w:pStyle w:val="Bibliografa"/>
        <w:rPr>
          <w:rFonts w:ascii="Times New Roman" w:hAnsi="Times New Roman"/>
        </w:rPr>
      </w:pPr>
      <w:r w:rsidRPr="008745FE">
        <w:rPr>
          <w:rFonts w:ascii="Times New Roman" w:hAnsi="Times New Roman"/>
        </w:rPr>
        <w:t xml:space="preserve">Rodríguez, A., Rivas, J., y Carrillo, A. (2018). </w:t>
      </w:r>
      <w:r w:rsidRPr="008745FE">
        <w:rPr>
          <w:rFonts w:ascii="Times New Roman" w:hAnsi="Times New Roman"/>
          <w:i/>
          <w:iCs/>
        </w:rPr>
        <w:t>Análisis de las implicancias de una Ley de Control  Previo en el mercado de hidrocarburos líquidos  peruano a lo largo de la cadena productiva</w:t>
      </w:r>
      <w:r w:rsidRPr="008745FE">
        <w:rPr>
          <w:rFonts w:ascii="Times New Roman" w:hAnsi="Times New Roman"/>
        </w:rPr>
        <w:t xml:space="preserve"> (Documento de Trabajo </w:t>
      </w:r>
      <w:proofErr w:type="spellStart"/>
      <w:r w:rsidRPr="008745FE">
        <w:rPr>
          <w:rFonts w:ascii="Times New Roman" w:hAnsi="Times New Roman"/>
        </w:rPr>
        <w:t>N.</w:t>
      </w:r>
      <w:r w:rsidRPr="008745FE">
        <w:rPr>
          <w:rFonts w:ascii="Times New Roman" w:hAnsi="Times New Roman"/>
          <w:vertAlign w:val="superscript"/>
        </w:rPr>
        <w:t>o</w:t>
      </w:r>
      <w:proofErr w:type="spellEnd"/>
      <w:r w:rsidRPr="008745FE">
        <w:rPr>
          <w:rFonts w:ascii="Times New Roman" w:hAnsi="Times New Roman"/>
        </w:rPr>
        <w:t xml:space="preserve"> 43). Oficina de Estudios Económicos. Osinergmin. https://www.osinergmin.gob.pe/seccion/centro_documental/Institucional/Estudios_Economicos/Documentos_de_Trabajo/Documento-Trabajo-43.pdf</w:t>
      </w:r>
    </w:p>
    <w:p w14:paraId="03B6764C" w14:textId="77777777" w:rsidR="008745FE" w:rsidRPr="008745FE" w:rsidRDefault="008745FE" w:rsidP="008745FE">
      <w:pPr>
        <w:pStyle w:val="Bibliografa"/>
        <w:rPr>
          <w:rFonts w:ascii="Times New Roman" w:hAnsi="Times New Roman"/>
          <w:lang w:val="en-US"/>
        </w:rPr>
      </w:pPr>
      <w:r w:rsidRPr="008745FE">
        <w:rPr>
          <w:rFonts w:ascii="Times New Roman" w:hAnsi="Times New Roman"/>
          <w:lang w:val="en-US"/>
        </w:rPr>
        <w:t xml:space="preserve">Salant, S. W., Switzer, S., y Reynolds, R. J. (1983). Losses from Horizontal Merger: The Effects of an Exogenous Change in Industry Structure on Cournot-Nash Equilibrium. </w:t>
      </w:r>
      <w:r w:rsidRPr="008745FE">
        <w:rPr>
          <w:rFonts w:ascii="Times New Roman" w:hAnsi="Times New Roman"/>
          <w:i/>
          <w:iCs/>
          <w:lang w:val="en-US"/>
        </w:rPr>
        <w:t>The Quarterly Journal of Economics</w:t>
      </w:r>
      <w:r w:rsidRPr="008745FE">
        <w:rPr>
          <w:rFonts w:ascii="Times New Roman" w:hAnsi="Times New Roman"/>
          <w:lang w:val="en-US"/>
        </w:rPr>
        <w:t xml:space="preserve">, </w:t>
      </w:r>
      <w:r w:rsidRPr="008745FE">
        <w:rPr>
          <w:rFonts w:ascii="Times New Roman" w:hAnsi="Times New Roman"/>
          <w:i/>
          <w:iCs/>
          <w:lang w:val="en-US"/>
        </w:rPr>
        <w:t>98</w:t>
      </w:r>
      <w:r w:rsidRPr="008745FE">
        <w:rPr>
          <w:rFonts w:ascii="Times New Roman" w:hAnsi="Times New Roman"/>
          <w:lang w:val="en-US"/>
        </w:rPr>
        <w:t>(2), 185. https://doi.org/10.2307/1885620</w:t>
      </w:r>
    </w:p>
    <w:p w14:paraId="09E4EE7F" w14:textId="77777777" w:rsidR="008745FE" w:rsidRPr="008745FE" w:rsidRDefault="008745FE" w:rsidP="008745FE">
      <w:pPr>
        <w:pStyle w:val="Bibliografa"/>
        <w:rPr>
          <w:rFonts w:ascii="Times New Roman" w:hAnsi="Times New Roman"/>
        </w:rPr>
      </w:pPr>
      <w:r w:rsidRPr="008745FE">
        <w:rPr>
          <w:rFonts w:ascii="Times New Roman" w:hAnsi="Times New Roman"/>
          <w:lang w:val="en-US"/>
        </w:rPr>
        <w:t xml:space="preserve">Salop, S. C. (1979). Monopolistic Competition with Outside Goods. </w:t>
      </w:r>
      <w:proofErr w:type="spellStart"/>
      <w:r w:rsidRPr="008745FE">
        <w:rPr>
          <w:rFonts w:ascii="Times New Roman" w:hAnsi="Times New Roman"/>
          <w:i/>
          <w:iCs/>
        </w:rPr>
        <w:t>The</w:t>
      </w:r>
      <w:proofErr w:type="spellEnd"/>
      <w:r w:rsidRPr="008745FE">
        <w:rPr>
          <w:rFonts w:ascii="Times New Roman" w:hAnsi="Times New Roman"/>
          <w:i/>
          <w:iCs/>
        </w:rPr>
        <w:t xml:space="preserve"> Bell </w:t>
      </w:r>
      <w:proofErr w:type="spellStart"/>
      <w:r w:rsidRPr="008745FE">
        <w:rPr>
          <w:rFonts w:ascii="Times New Roman" w:hAnsi="Times New Roman"/>
          <w:i/>
          <w:iCs/>
        </w:rPr>
        <w:t>Journal</w:t>
      </w:r>
      <w:proofErr w:type="spellEnd"/>
      <w:r w:rsidRPr="008745FE">
        <w:rPr>
          <w:rFonts w:ascii="Times New Roman" w:hAnsi="Times New Roman"/>
          <w:i/>
          <w:iCs/>
        </w:rPr>
        <w:t xml:space="preserve"> </w:t>
      </w:r>
      <w:proofErr w:type="spellStart"/>
      <w:r w:rsidRPr="008745FE">
        <w:rPr>
          <w:rFonts w:ascii="Times New Roman" w:hAnsi="Times New Roman"/>
          <w:i/>
          <w:iCs/>
        </w:rPr>
        <w:t>of</w:t>
      </w:r>
      <w:proofErr w:type="spellEnd"/>
      <w:r w:rsidRPr="008745FE">
        <w:rPr>
          <w:rFonts w:ascii="Times New Roman" w:hAnsi="Times New Roman"/>
          <w:i/>
          <w:iCs/>
        </w:rPr>
        <w:t xml:space="preserve"> </w:t>
      </w:r>
      <w:proofErr w:type="spellStart"/>
      <w:r w:rsidRPr="008745FE">
        <w:rPr>
          <w:rFonts w:ascii="Times New Roman" w:hAnsi="Times New Roman"/>
          <w:i/>
          <w:iCs/>
        </w:rPr>
        <w:t>Economics</w:t>
      </w:r>
      <w:proofErr w:type="spellEnd"/>
      <w:r w:rsidRPr="008745FE">
        <w:rPr>
          <w:rFonts w:ascii="Times New Roman" w:hAnsi="Times New Roman"/>
        </w:rPr>
        <w:t xml:space="preserve">, </w:t>
      </w:r>
      <w:r w:rsidRPr="008745FE">
        <w:rPr>
          <w:rFonts w:ascii="Times New Roman" w:hAnsi="Times New Roman"/>
          <w:i/>
          <w:iCs/>
        </w:rPr>
        <w:t>10</w:t>
      </w:r>
      <w:r w:rsidRPr="008745FE">
        <w:rPr>
          <w:rFonts w:ascii="Times New Roman" w:hAnsi="Times New Roman"/>
        </w:rPr>
        <w:t>(1), 141-156. https://doi.org/10.2307/3003323</w:t>
      </w:r>
    </w:p>
    <w:p w14:paraId="326151A1" w14:textId="04BFD2C6" w:rsidR="005104A3" w:rsidRPr="00074369" w:rsidRDefault="005104A3" w:rsidP="005104A3">
      <w:r w:rsidRPr="00074369">
        <w:lastRenderedPageBreak/>
        <w:fldChar w:fldCharType="end"/>
      </w:r>
    </w:p>
    <w:sectPr w:rsidR="005104A3" w:rsidRPr="00074369" w:rsidSect="00170A3D">
      <w:headerReference w:type="default" r:id="rId19"/>
      <w:footerReference w:type="default" r:id="rId20"/>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iego Uriarte" w:date="2019-05-12T10:08:00Z" w:initials="DUC">
    <w:p w14:paraId="10898B20" w14:textId="442D99BB" w:rsidR="00FB0EE3" w:rsidRDefault="00FB0EE3">
      <w:pPr>
        <w:pStyle w:val="Textocomentario"/>
      </w:pPr>
      <w:r>
        <w:rPr>
          <w:rStyle w:val="Refdecomentario"/>
        </w:rPr>
        <w:annotationRef/>
      </w:r>
      <w:r>
        <w:t xml:space="preserve">Añadir párrafo sobre </w:t>
      </w:r>
      <w:proofErr w:type="spellStart"/>
      <w:r>
        <w:t>diff</w:t>
      </w:r>
      <w:proofErr w:type="spellEnd"/>
      <w:r>
        <w:t>-</w:t>
      </w:r>
      <w:proofErr w:type="spellStart"/>
      <w:r>
        <w:t>in-diff</w:t>
      </w:r>
      <w:proofErr w:type="spellEnd"/>
      <w:r>
        <w:t xml:space="preserve"> espacial si se hace</w:t>
      </w:r>
    </w:p>
  </w:comment>
  <w:comment w:id="3" w:author="Diego Uriarte Cáceres" w:date="2021-04-23T10:39:00Z" w:initials="DUC">
    <w:p w14:paraId="6F7EB2BF" w14:textId="1AB1A110" w:rsidR="00FB0EE3" w:rsidRDefault="00FB0EE3">
      <w:pPr>
        <w:pStyle w:val="Textocomentario"/>
      </w:pPr>
      <w:r>
        <w:rPr>
          <w:rStyle w:val="Refdecomentario"/>
        </w:rPr>
        <w:annotationRef/>
      </w:r>
      <w:r>
        <w:t>Actualizar con metodología</w:t>
      </w:r>
    </w:p>
  </w:comment>
  <w:comment w:id="5" w:author="Diego Uriarte Cáceres" w:date="2021-04-23T10:39:00Z" w:initials="DUC">
    <w:p w14:paraId="2B7C9AA3" w14:textId="170CB6CD" w:rsidR="00FB0EE3" w:rsidRDefault="00FB0EE3">
      <w:pPr>
        <w:pStyle w:val="Textocomentario"/>
      </w:pPr>
      <w:r>
        <w:rPr>
          <w:rStyle w:val="Refdecomentario"/>
        </w:rPr>
        <w:annotationRef/>
      </w:r>
      <w:r>
        <w:t>Ya no es espacial</w:t>
      </w:r>
    </w:p>
  </w:comment>
  <w:comment w:id="6" w:author="Diego Uriarte Cáceres" w:date="2021-04-23T10:40:00Z" w:initials="DUC">
    <w:p w14:paraId="5DCDA1A0" w14:textId="0C11805E" w:rsidR="00FB0EE3" w:rsidRDefault="00FB0EE3">
      <w:pPr>
        <w:pStyle w:val="Textocomentario"/>
      </w:pPr>
      <w:r>
        <w:rPr>
          <w:rStyle w:val="Refdecomentario"/>
        </w:rPr>
        <w:annotationRef/>
      </w:r>
      <w:r>
        <w:t xml:space="preserve">Incluir comentario sobre informe de </w:t>
      </w:r>
      <w:proofErr w:type="spellStart"/>
      <w:r>
        <w:t>osinergmin</w:t>
      </w:r>
      <w:proofErr w:type="spellEnd"/>
      <w:r>
        <w:t xml:space="preserve"> y el control de fusiones</w:t>
      </w:r>
    </w:p>
  </w:comment>
  <w:comment w:id="31" w:author="José Guillermo Díaz Gamarra" w:date="2019-05-02T14:21:00Z" w:initials="JGDG">
    <w:p w14:paraId="30BBA280" w14:textId="6DDA38CF" w:rsidR="00FB0EE3" w:rsidRDefault="00FB0EE3" w:rsidP="005453E0">
      <w:pPr>
        <w:pStyle w:val="Textocomentario"/>
      </w:pPr>
      <w:r>
        <w:rPr>
          <w:rStyle w:val="Refdecomentario"/>
        </w:rPr>
        <w:annotationRef/>
      </w:r>
      <w:r>
        <w:t xml:space="preserve">Esta sección parece que debe ir en el capítulo III donde se habla sobre los detalles de la industria. </w:t>
      </w:r>
    </w:p>
  </w:comment>
  <w:comment w:id="32" w:author="Diego Uriarte" w:date="2019-05-10T17:03:00Z" w:initials="DUC">
    <w:p w14:paraId="179F7631" w14:textId="1BD2D3E1" w:rsidR="00FB0EE3" w:rsidRDefault="00FB0EE3">
      <w:pPr>
        <w:pStyle w:val="Textocomentario"/>
      </w:pPr>
      <w:r>
        <w:rPr>
          <w:rStyle w:val="Refdecomentario"/>
        </w:rPr>
        <w:annotationRef/>
      </w:r>
      <w:r>
        <w:t>De acuerdo, se consolida en una sola sección</w:t>
      </w:r>
    </w:p>
  </w:comment>
  <w:comment w:id="33" w:author="Diego Uriarte Cáceres" w:date="2021-04-23T10:44:00Z" w:initials="DUC">
    <w:p w14:paraId="283E48E7" w14:textId="70DA426F" w:rsidR="00FB0EE3" w:rsidRDefault="00FB0EE3">
      <w:pPr>
        <w:pStyle w:val="Textocomentario"/>
      </w:pPr>
      <w:r>
        <w:rPr>
          <w:rStyle w:val="Refdecomentario"/>
        </w:rPr>
        <w:annotationRef/>
      </w:r>
      <w:r>
        <w:t>Hablar más del mercado, e incluir más estadísticas</w:t>
      </w:r>
    </w:p>
  </w:comment>
  <w:comment w:id="43" w:author="Guillermo Díaz" w:date="2019-05-09T12:07:00Z" w:initials="GD">
    <w:p w14:paraId="60D48600" w14:textId="3F0C3738" w:rsidR="00FB0EE3" w:rsidRDefault="00FB0EE3">
      <w:pPr>
        <w:pStyle w:val="Textocomentario"/>
      </w:pPr>
      <w:r>
        <w:rPr>
          <w:rStyle w:val="Refdecomentario"/>
        </w:rPr>
        <w:annotationRef/>
      </w:r>
      <w:r>
        <w:t xml:space="preserve">Sería interesante marcar en este gráfico el momento de la fusión… </w:t>
      </w:r>
    </w:p>
  </w:comment>
  <w:comment w:id="44" w:author="Diego Uriarte" w:date="2019-05-10T19:16:00Z" w:initials="DUC">
    <w:p w14:paraId="5FB683B3" w14:textId="1C7D392E" w:rsidR="00FB0EE3" w:rsidRDefault="00FB0EE3">
      <w:pPr>
        <w:pStyle w:val="Textocomentario"/>
      </w:pPr>
      <w:r>
        <w:rPr>
          <w:rStyle w:val="Refdecomentario"/>
        </w:rPr>
        <w:annotationRef/>
      </w:r>
      <w:r>
        <w:t>Se añade el momento de la compra, y se agregan los precios promedio para estaciones de propias operadas por Primax y Pecsa.</w:t>
      </w:r>
    </w:p>
  </w:comment>
  <w:comment w:id="53" w:author="Diego Uriarte" w:date="2019-06-10T22:16:00Z" w:initials="DUC">
    <w:p w14:paraId="3877ABBA" w14:textId="6CA6C6EF" w:rsidR="00FB0EE3" w:rsidRDefault="00FB0EE3">
      <w:pPr>
        <w:pStyle w:val="Textocomentario"/>
      </w:pPr>
      <w:r>
        <w:rPr>
          <w:rStyle w:val="Refdecomentario"/>
        </w:rPr>
        <w:annotationRef/>
      </w:r>
      <w:r>
        <w:t>PENDIENTE</w:t>
      </w:r>
    </w:p>
  </w:comment>
  <w:comment w:id="58" w:author="Guillermo Díaz" w:date="2019-05-09T12:08:00Z" w:initials="GD">
    <w:p w14:paraId="2B3F3A36" w14:textId="487CA6F5" w:rsidR="00FB0EE3" w:rsidRDefault="00FB0EE3">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59" w:author="Diego Uriarte" w:date="2019-05-11T17:22:00Z" w:initials="DUC">
    <w:p w14:paraId="610EE202" w14:textId="083E3D16" w:rsidR="00FB0EE3" w:rsidRDefault="00FB0EE3">
      <w:pPr>
        <w:pStyle w:val="Textocomentario"/>
      </w:pPr>
      <w:r>
        <w:rPr>
          <w:rStyle w:val="Refdecomentario"/>
        </w:rPr>
        <w:annotationRef/>
      </w:r>
      <w:r>
        <w:t xml:space="preserve">Se añade gráfica en el capítulo 3 y párrafo discutiendo </w:t>
      </w:r>
      <w:proofErr w:type="spellStart"/>
      <w:r>
        <w:t>gasohol</w:t>
      </w:r>
      <w:proofErr w:type="spellEnd"/>
      <w:r>
        <w:t xml:space="preserve"> 90 y diésel.</w:t>
      </w:r>
    </w:p>
  </w:comment>
  <w:comment w:id="60" w:author="Guillermo Díaz" w:date="2019-05-09T12:10:00Z" w:initials="GD">
    <w:p w14:paraId="13D50ACA" w14:textId="77777777" w:rsidR="00FB0EE3" w:rsidRDefault="00FB0EE3" w:rsidP="000950E9">
      <w:pPr>
        <w:pStyle w:val="Textocomentario"/>
      </w:pPr>
      <w:r>
        <w:rPr>
          <w:rStyle w:val="Refdecomentario"/>
        </w:rPr>
        <w:annotationRef/>
      </w:r>
      <w:r>
        <w:t xml:space="preserve">No queda claro a qué haces referencia acá. Veo que </w:t>
      </w:r>
      <w:proofErr w:type="spellStart"/>
      <w:r>
        <w:t>Pennerstorfer</w:t>
      </w:r>
      <w:proofErr w:type="spellEnd"/>
      <w:r>
        <w:t xml:space="preserve"> (2009) usa círculos alrededor de cada unidad, pero en realidad usarás polígonos de </w:t>
      </w:r>
      <w:proofErr w:type="spellStart"/>
      <w:r>
        <w:t>Thissen</w:t>
      </w:r>
      <w:proofErr w:type="spellEnd"/>
      <w:r>
        <w:t>, cierto? No queda claro</w:t>
      </w:r>
    </w:p>
  </w:comment>
  <w:comment w:id="61" w:author="Diego Uriarte" w:date="2019-05-18T14:15:00Z" w:initials="DUC">
    <w:p w14:paraId="592F7006" w14:textId="2A11A1BF" w:rsidR="00FB0EE3" w:rsidRDefault="00FB0EE3">
      <w:pPr>
        <w:pStyle w:val="Textocomentario"/>
      </w:pPr>
      <w:r>
        <w:rPr>
          <w:rStyle w:val="Refdecomentario"/>
        </w:rPr>
        <w:annotationRef/>
      </w:r>
      <w:r>
        <w:t>Se colocan dos casos extremos de la medida, además de un apéndice con el ejemplo del cálculo</w:t>
      </w:r>
    </w:p>
  </w:comment>
  <w:comment w:id="64" w:author="Diego Uriarte Cáceres" w:date="2021-04-23T10:45:00Z" w:initials="DUC">
    <w:p w14:paraId="0033963D" w14:textId="57FF0FB9" w:rsidR="00FB0EE3" w:rsidRDefault="00FB0EE3">
      <w:pPr>
        <w:pStyle w:val="Textocomentario"/>
      </w:pPr>
      <w:r>
        <w:rPr>
          <w:rStyle w:val="Refdecomentario"/>
        </w:rPr>
        <w:annotationRef/>
      </w:r>
      <w:r>
        <w:t>A partir de acá cambia todo</w:t>
      </w:r>
    </w:p>
  </w:comment>
  <w:comment w:id="65" w:author="Guillermo Díaz" w:date="2019-05-09T12:21:00Z" w:initials="GD">
    <w:p w14:paraId="70A3AB2D" w14:textId="58E2D059" w:rsidR="00FB0EE3" w:rsidRDefault="00FB0EE3">
      <w:pPr>
        <w:pStyle w:val="Textocomentario"/>
      </w:pPr>
      <w:r>
        <w:rPr>
          <w:rStyle w:val="Refdecomentario"/>
        </w:rPr>
        <w:annotationRef/>
      </w:r>
      <w:r>
        <w:t>Qué significa esta variable? NO queda claro</w:t>
      </w:r>
    </w:p>
  </w:comment>
  <w:comment w:id="66" w:author="Diego Uriarte" w:date="2019-06-10T22:19:00Z" w:initials="DUC">
    <w:p w14:paraId="49D7D59F" w14:textId="77561E2E" w:rsidR="00FB0EE3" w:rsidRDefault="00FB0EE3">
      <w:pPr>
        <w:pStyle w:val="Textocomentario"/>
      </w:pPr>
      <w:r>
        <w:rPr>
          <w:rStyle w:val="Refdecomentario"/>
        </w:rPr>
        <w:annotationRef/>
      </w:r>
      <w:r>
        <w:t>Se describe en Capitulo IV 4.1 y en el anexo 1.</w:t>
      </w:r>
    </w:p>
  </w:comment>
  <w:comment w:id="200" w:author="Diego Uriarte Cáceres" w:date="2021-04-23T10:46:00Z" w:initials="DUC">
    <w:p w14:paraId="6F0B0B5D" w14:textId="18694268" w:rsidR="00FB0EE3" w:rsidRDefault="00FB0EE3">
      <w:pPr>
        <w:pStyle w:val="Textocomentario"/>
      </w:pPr>
      <w:r>
        <w:rPr>
          <w:rStyle w:val="Refdecomentario"/>
        </w:rPr>
        <w:annotationRef/>
      </w:r>
      <w:r>
        <w:t>Se va</w:t>
      </w:r>
    </w:p>
  </w:comment>
  <w:comment w:id="207" w:author="Diego Uriarte Cáceres" w:date="2021-04-23T10:46:00Z" w:initials="DUC">
    <w:p w14:paraId="192542F6" w14:textId="7A26CB11" w:rsidR="00FB0EE3" w:rsidRDefault="00FB0EE3">
      <w:pPr>
        <w:pStyle w:val="Textocomentario"/>
      </w:pPr>
      <w:r>
        <w:rPr>
          <w:rStyle w:val="Refdecomentario"/>
        </w:rPr>
        <w:annotationRef/>
      </w:r>
      <w:r>
        <w:t>Se va</w:t>
      </w:r>
    </w:p>
  </w:comment>
  <w:comment w:id="210" w:author="Guillermo Díaz" w:date="2019-05-09T12:17:00Z" w:initials="GD">
    <w:p w14:paraId="6AA0B6F9" w14:textId="77777777" w:rsidR="00FB0EE3" w:rsidRPr="00354EDC" w:rsidRDefault="00FB0EE3" w:rsidP="009F2EBC">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211" w:author="Diego Uriarte" w:date="2019-05-11T17:42:00Z" w:initials="DUC">
    <w:p w14:paraId="32986166" w14:textId="77777777" w:rsidR="00FB0EE3" w:rsidRDefault="00FB0EE3" w:rsidP="009F2EBC">
      <w:pPr>
        <w:pStyle w:val="Textocomentario"/>
      </w:pPr>
      <w:r>
        <w:rPr>
          <w:rStyle w:val="Refdecomentario"/>
        </w:rPr>
        <w:annotationRef/>
      </w:r>
      <w:r>
        <w:t>Se retira referencia a la estimación, y añaden las variables de interés de la regresión en corte transversal.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98B20" w15:done="0"/>
  <w15:commentEx w15:paraId="6F7EB2BF" w15:done="0"/>
  <w15:commentEx w15:paraId="2B7C9AA3" w15:done="0"/>
  <w15:commentEx w15:paraId="5DCDA1A0" w15:done="0"/>
  <w15:commentEx w15:paraId="30BBA280" w15:done="0"/>
  <w15:commentEx w15:paraId="179F7631" w15:paraIdParent="30BBA280" w15:done="0"/>
  <w15:commentEx w15:paraId="283E48E7" w15:done="0"/>
  <w15:commentEx w15:paraId="60D48600" w15:done="0"/>
  <w15:commentEx w15:paraId="5FB683B3" w15:paraIdParent="60D48600" w15:done="0"/>
  <w15:commentEx w15:paraId="3877ABBA" w15:done="0"/>
  <w15:commentEx w15:paraId="2B3F3A36" w15:done="0"/>
  <w15:commentEx w15:paraId="610EE202" w15:paraIdParent="2B3F3A36" w15:done="0"/>
  <w15:commentEx w15:paraId="13D50ACA" w15:done="0"/>
  <w15:commentEx w15:paraId="592F7006" w15:paraIdParent="13D50ACA" w15:done="0"/>
  <w15:commentEx w15:paraId="0033963D" w15:done="0"/>
  <w15:commentEx w15:paraId="70A3AB2D" w15:done="0"/>
  <w15:commentEx w15:paraId="49D7D59F" w15:paraIdParent="70A3AB2D" w15:done="0"/>
  <w15:commentEx w15:paraId="6F0B0B5D" w15:done="0"/>
  <w15:commentEx w15:paraId="192542F6" w15:done="0"/>
  <w15:commentEx w15:paraId="6AA0B6F9" w15:done="0"/>
  <w15:commentEx w15:paraId="32986166" w15:paraIdParent="6AA0B6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225B" w16cex:dateUtc="2021-04-23T15:39:00Z"/>
  <w16cex:commentExtensible w16cex:durableId="242D227E" w16cex:dateUtc="2021-04-23T15:39:00Z"/>
  <w16cex:commentExtensible w16cex:durableId="242D2295" w16cex:dateUtc="2021-04-23T15:40:00Z"/>
  <w16cex:commentExtensible w16cex:durableId="242D2395" w16cex:dateUtc="2021-04-23T15:44:00Z"/>
  <w16cex:commentExtensible w16cex:durableId="242D23C3" w16cex:dateUtc="2021-04-23T15:45:00Z"/>
  <w16cex:commentExtensible w16cex:durableId="242D2401" w16cex:dateUtc="2021-04-23T15:46:00Z"/>
  <w16cex:commentExtensible w16cex:durableId="242D240C" w16cex:dateUtc="2021-04-23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98B20" w16cid:durableId="23F1496C"/>
  <w16cid:commentId w16cid:paraId="6F7EB2BF" w16cid:durableId="242D225B"/>
  <w16cid:commentId w16cid:paraId="2B7C9AA3" w16cid:durableId="242D227E"/>
  <w16cid:commentId w16cid:paraId="5DCDA1A0" w16cid:durableId="242D2295"/>
  <w16cid:commentId w16cid:paraId="30BBA280" w16cid:durableId="23F14978"/>
  <w16cid:commentId w16cid:paraId="179F7631" w16cid:durableId="23F14979"/>
  <w16cid:commentId w16cid:paraId="283E48E7" w16cid:durableId="242D2395"/>
  <w16cid:commentId w16cid:paraId="60D48600" w16cid:durableId="23F1497A"/>
  <w16cid:commentId w16cid:paraId="5FB683B3" w16cid:durableId="23F1497B"/>
  <w16cid:commentId w16cid:paraId="3877ABBA" w16cid:durableId="23F1497C"/>
  <w16cid:commentId w16cid:paraId="2B3F3A36" w16cid:durableId="23F1497D"/>
  <w16cid:commentId w16cid:paraId="610EE202" w16cid:durableId="23F1497E"/>
  <w16cid:commentId w16cid:paraId="13D50ACA" w16cid:durableId="23F1497F"/>
  <w16cid:commentId w16cid:paraId="592F7006" w16cid:durableId="23F14980"/>
  <w16cid:commentId w16cid:paraId="0033963D" w16cid:durableId="242D23C3"/>
  <w16cid:commentId w16cid:paraId="70A3AB2D" w16cid:durableId="23F14981"/>
  <w16cid:commentId w16cid:paraId="49D7D59F" w16cid:durableId="23F14982"/>
  <w16cid:commentId w16cid:paraId="6F0B0B5D" w16cid:durableId="242D2401"/>
  <w16cid:commentId w16cid:paraId="192542F6" w16cid:durableId="242D240C"/>
  <w16cid:commentId w16cid:paraId="6AA0B6F9" w16cid:durableId="23F14987"/>
  <w16cid:commentId w16cid:paraId="32986166" w16cid:durableId="23F14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654A" w14:textId="77777777" w:rsidR="00F21984" w:rsidRDefault="00F21984" w:rsidP="00F57A1B">
      <w:r>
        <w:separator/>
      </w:r>
    </w:p>
  </w:endnote>
  <w:endnote w:type="continuationSeparator" w:id="0">
    <w:p w14:paraId="20819505" w14:textId="77777777" w:rsidR="00F21984" w:rsidRDefault="00F21984" w:rsidP="00F57A1B">
      <w:r>
        <w:continuationSeparator/>
      </w:r>
    </w:p>
  </w:endnote>
  <w:endnote w:type="continuationNotice" w:id="1">
    <w:p w14:paraId="4D07ADAC" w14:textId="77777777" w:rsidR="00F21984" w:rsidRDefault="00F21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3FCE" w14:textId="77777777" w:rsidR="00FB0EE3" w:rsidRDefault="00FB0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8FF1" w14:textId="77777777" w:rsidR="00F21984" w:rsidRDefault="00F21984" w:rsidP="00F57A1B">
      <w:r>
        <w:separator/>
      </w:r>
    </w:p>
  </w:footnote>
  <w:footnote w:type="continuationSeparator" w:id="0">
    <w:p w14:paraId="23151FAB" w14:textId="77777777" w:rsidR="00F21984" w:rsidRDefault="00F21984" w:rsidP="00F57A1B">
      <w:r>
        <w:continuationSeparator/>
      </w:r>
    </w:p>
  </w:footnote>
  <w:footnote w:type="continuationNotice" w:id="1">
    <w:p w14:paraId="6DC5F2A6" w14:textId="77777777" w:rsidR="00F21984" w:rsidRDefault="00F21984">
      <w:pPr>
        <w:spacing w:after="0" w:line="240" w:lineRule="auto"/>
      </w:pPr>
    </w:p>
  </w:footnote>
  <w:footnote w:id="2">
    <w:p w14:paraId="2955C412" w14:textId="77777777" w:rsidR="00FB0EE3" w:rsidRDefault="00FB0EE3"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3371FEC1" w14:textId="77777777" w:rsidR="00FB0EE3" w:rsidRPr="007E5D11" w:rsidRDefault="00FB0EE3" w:rsidP="00EE678A">
      <w:pPr>
        <w:pStyle w:val="Textonotapie"/>
        <w:rPr>
          <w:sz w:val="18"/>
          <w:lang w:val="es-ES"/>
        </w:rPr>
      </w:pPr>
      <w:r w:rsidRPr="007E5D11">
        <w:rPr>
          <w:rStyle w:val="Refdenotaalpie"/>
          <w:sz w:val="18"/>
        </w:rPr>
        <w:footnoteRef/>
      </w:r>
      <w:r w:rsidRPr="007E5D11">
        <w:rPr>
          <w:sz w:val="18"/>
          <w:lang w:val="es-ES"/>
        </w:rPr>
        <w:t xml:space="preserve"> Los distritos no incluidos en la tabla son: San Juan de Lurigancho, </w:t>
      </w:r>
      <w:proofErr w:type="spellStart"/>
      <w:r w:rsidRPr="007E5D11">
        <w:rPr>
          <w:sz w:val="18"/>
          <w:lang w:val="es-ES"/>
        </w:rPr>
        <w:t>Carabayllo</w:t>
      </w:r>
      <w:proofErr w:type="spellEnd"/>
      <w:r w:rsidRPr="007E5D11">
        <w:rPr>
          <w:sz w:val="18"/>
          <w:lang w:val="es-ES"/>
        </w:rPr>
        <w:t xml:space="preserve">,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5334"/>
      <w:docPartObj>
        <w:docPartGallery w:val="Page Numbers (Top of Page)"/>
        <w:docPartUnique/>
      </w:docPartObj>
    </w:sdtPr>
    <w:sdtEndPr/>
    <w:sdtContent>
      <w:p w14:paraId="40B29DC3" w14:textId="0307E48F" w:rsidR="00FB0EE3" w:rsidRDefault="00FB0EE3">
        <w:pPr>
          <w:pStyle w:val="Encabezado"/>
          <w:jc w:val="right"/>
        </w:pPr>
        <w:r>
          <w:fldChar w:fldCharType="begin"/>
        </w:r>
        <w:r>
          <w:instrText>PAGE   \* MERGEFORMAT</w:instrText>
        </w:r>
        <w:r>
          <w:fldChar w:fldCharType="separate"/>
        </w:r>
        <w:r>
          <w:rPr>
            <w:noProof/>
          </w:rPr>
          <w:t>38</w:t>
        </w:r>
        <w:r>
          <w:fldChar w:fldCharType="end"/>
        </w:r>
      </w:p>
    </w:sdtContent>
  </w:sdt>
  <w:p w14:paraId="48712C0F" w14:textId="77777777" w:rsidR="00FB0EE3" w:rsidRDefault="00FB0EE3"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5019"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 w:numId="28">
    <w:abstractNumId w:val="13"/>
  </w:num>
  <w:num w:numId="29">
    <w:abstractNumId w:val="13"/>
  </w:num>
  <w:num w:numId="30">
    <w:abstractNumId w:val="13"/>
  </w:num>
  <w:num w:numId="3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Uriarte">
    <w15:presenceInfo w15:providerId="None" w15:userId="Diego Uriarte"/>
  </w15:person>
  <w15:person w15:author="Diego Uriarte Cáceres">
    <w15:presenceInfo w15:providerId="Windows Live" w15:userId="0de5d597d75d76f8"/>
  </w15:person>
  <w15:person w15:author="José Guillermo Díaz Gamarra">
    <w15:presenceInfo w15:providerId="AD" w15:userId="S-1-5-21-1801674531-1897051121-682003330-263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NotTrackFormatting/>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D92"/>
    <w:rsid w:val="00002231"/>
    <w:rsid w:val="00002941"/>
    <w:rsid w:val="00006391"/>
    <w:rsid w:val="00010844"/>
    <w:rsid w:val="00010DA6"/>
    <w:rsid w:val="00021C09"/>
    <w:rsid w:val="000271B0"/>
    <w:rsid w:val="00027537"/>
    <w:rsid w:val="00027D61"/>
    <w:rsid w:val="00027EEA"/>
    <w:rsid w:val="0003097A"/>
    <w:rsid w:val="00030D15"/>
    <w:rsid w:val="00032777"/>
    <w:rsid w:val="0003726D"/>
    <w:rsid w:val="00041A5D"/>
    <w:rsid w:val="0004424C"/>
    <w:rsid w:val="000474BF"/>
    <w:rsid w:val="00051907"/>
    <w:rsid w:val="000534AB"/>
    <w:rsid w:val="00054043"/>
    <w:rsid w:val="000615D8"/>
    <w:rsid w:val="0006185D"/>
    <w:rsid w:val="00061C8F"/>
    <w:rsid w:val="00063B97"/>
    <w:rsid w:val="00063F4A"/>
    <w:rsid w:val="00064386"/>
    <w:rsid w:val="00067D45"/>
    <w:rsid w:val="00074369"/>
    <w:rsid w:val="0007438F"/>
    <w:rsid w:val="00076D9F"/>
    <w:rsid w:val="0007726E"/>
    <w:rsid w:val="000774FA"/>
    <w:rsid w:val="00077ED8"/>
    <w:rsid w:val="0008328C"/>
    <w:rsid w:val="00091768"/>
    <w:rsid w:val="000924E9"/>
    <w:rsid w:val="000950E9"/>
    <w:rsid w:val="000952FB"/>
    <w:rsid w:val="00097E96"/>
    <w:rsid w:val="000A0983"/>
    <w:rsid w:val="000A1199"/>
    <w:rsid w:val="000A1AA8"/>
    <w:rsid w:val="000A2B51"/>
    <w:rsid w:val="000A3751"/>
    <w:rsid w:val="000B0B6C"/>
    <w:rsid w:val="000B0CED"/>
    <w:rsid w:val="000B1026"/>
    <w:rsid w:val="000B1F09"/>
    <w:rsid w:val="000B3D47"/>
    <w:rsid w:val="000B56E5"/>
    <w:rsid w:val="000B5BA8"/>
    <w:rsid w:val="000B623C"/>
    <w:rsid w:val="000B6883"/>
    <w:rsid w:val="000B68B8"/>
    <w:rsid w:val="000C4F3C"/>
    <w:rsid w:val="000D15A3"/>
    <w:rsid w:val="000D39DB"/>
    <w:rsid w:val="000E17B3"/>
    <w:rsid w:val="000E1B51"/>
    <w:rsid w:val="000E4DBD"/>
    <w:rsid w:val="000E5223"/>
    <w:rsid w:val="000E65A3"/>
    <w:rsid w:val="000F00BA"/>
    <w:rsid w:val="000F0308"/>
    <w:rsid w:val="000F0BA8"/>
    <w:rsid w:val="000F2A85"/>
    <w:rsid w:val="00103A41"/>
    <w:rsid w:val="001046CB"/>
    <w:rsid w:val="00105ABA"/>
    <w:rsid w:val="001067DF"/>
    <w:rsid w:val="00106C52"/>
    <w:rsid w:val="00106D35"/>
    <w:rsid w:val="00113944"/>
    <w:rsid w:val="00114A16"/>
    <w:rsid w:val="001162E9"/>
    <w:rsid w:val="00125D76"/>
    <w:rsid w:val="00125F92"/>
    <w:rsid w:val="00127563"/>
    <w:rsid w:val="00130F8F"/>
    <w:rsid w:val="001370F0"/>
    <w:rsid w:val="00137AA9"/>
    <w:rsid w:val="001463C8"/>
    <w:rsid w:val="001508F9"/>
    <w:rsid w:val="001515EE"/>
    <w:rsid w:val="00152EF0"/>
    <w:rsid w:val="001545F5"/>
    <w:rsid w:val="00160158"/>
    <w:rsid w:val="00161B3B"/>
    <w:rsid w:val="00164542"/>
    <w:rsid w:val="00170A3D"/>
    <w:rsid w:val="00172A61"/>
    <w:rsid w:val="00173517"/>
    <w:rsid w:val="00175C54"/>
    <w:rsid w:val="00175CF9"/>
    <w:rsid w:val="00180658"/>
    <w:rsid w:val="00180729"/>
    <w:rsid w:val="00193E89"/>
    <w:rsid w:val="00197033"/>
    <w:rsid w:val="00197DD0"/>
    <w:rsid w:val="001A0077"/>
    <w:rsid w:val="001B1B76"/>
    <w:rsid w:val="001B293F"/>
    <w:rsid w:val="001B67D3"/>
    <w:rsid w:val="001B716E"/>
    <w:rsid w:val="001C45B8"/>
    <w:rsid w:val="001C4B13"/>
    <w:rsid w:val="001C530F"/>
    <w:rsid w:val="001D00B4"/>
    <w:rsid w:val="001D7AC0"/>
    <w:rsid w:val="001E52B9"/>
    <w:rsid w:val="001E55B1"/>
    <w:rsid w:val="001F1E13"/>
    <w:rsid w:val="002031DD"/>
    <w:rsid w:val="00210E16"/>
    <w:rsid w:val="002135C5"/>
    <w:rsid w:val="00213DE0"/>
    <w:rsid w:val="00214C22"/>
    <w:rsid w:val="00220CA4"/>
    <w:rsid w:val="002215C9"/>
    <w:rsid w:val="002215E6"/>
    <w:rsid w:val="00221CA5"/>
    <w:rsid w:val="00226401"/>
    <w:rsid w:val="00227ACB"/>
    <w:rsid w:val="002363FE"/>
    <w:rsid w:val="0023791A"/>
    <w:rsid w:val="00240D8F"/>
    <w:rsid w:val="00241A5F"/>
    <w:rsid w:val="002423DB"/>
    <w:rsid w:val="00243304"/>
    <w:rsid w:val="00244ACD"/>
    <w:rsid w:val="002455A1"/>
    <w:rsid w:val="002518E5"/>
    <w:rsid w:val="0026044B"/>
    <w:rsid w:val="00260457"/>
    <w:rsid w:val="00265C61"/>
    <w:rsid w:val="002679FC"/>
    <w:rsid w:val="00267D9A"/>
    <w:rsid w:val="002726AC"/>
    <w:rsid w:val="002757AF"/>
    <w:rsid w:val="00276C7A"/>
    <w:rsid w:val="002778EE"/>
    <w:rsid w:val="00277C8B"/>
    <w:rsid w:val="00281859"/>
    <w:rsid w:val="002819FF"/>
    <w:rsid w:val="002875A3"/>
    <w:rsid w:val="002A08F0"/>
    <w:rsid w:val="002A73E1"/>
    <w:rsid w:val="002A747B"/>
    <w:rsid w:val="002B4709"/>
    <w:rsid w:val="002B7B52"/>
    <w:rsid w:val="002C12C7"/>
    <w:rsid w:val="002C4FB5"/>
    <w:rsid w:val="002D26B3"/>
    <w:rsid w:val="002E0259"/>
    <w:rsid w:val="002E43AC"/>
    <w:rsid w:val="002E7459"/>
    <w:rsid w:val="002E77DD"/>
    <w:rsid w:val="002F1D44"/>
    <w:rsid w:val="002F55E7"/>
    <w:rsid w:val="002F748A"/>
    <w:rsid w:val="00301825"/>
    <w:rsid w:val="0030580C"/>
    <w:rsid w:val="0030703F"/>
    <w:rsid w:val="00314830"/>
    <w:rsid w:val="00314D2F"/>
    <w:rsid w:val="0031702D"/>
    <w:rsid w:val="00320052"/>
    <w:rsid w:val="003245B1"/>
    <w:rsid w:val="00331AC7"/>
    <w:rsid w:val="00333888"/>
    <w:rsid w:val="00335839"/>
    <w:rsid w:val="003416D5"/>
    <w:rsid w:val="00354EDC"/>
    <w:rsid w:val="00355C59"/>
    <w:rsid w:val="00356395"/>
    <w:rsid w:val="00357334"/>
    <w:rsid w:val="0036311B"/>
    <w:rsid w:val="0037290B"/>
    <w:rsid w:val="00374199"/>
    <w:rsid w:val="00374410"/>
    <w:rsid w:val="00380362"/>
    <w:rsid w:val="0038259E"/>
    <w:rsid w:val="00384D7C"/>
    <w:rsid w:val="0039418B"/>
    <w:rsid w:val="00395EAC"/>
    <w:rsid w:val="003A01E6"/>
    <w:rsid w:val="003A2120"/>
    <w:rsid w:val="003A5534"/>
    <w:rsid w:val="003B2467"/>
    <w:rsid w:val="003B25C6"/>
    <w:rsid w:val="003B4240"/>
    <w:rsid w:val="003B644A"/>
    <w:rsid w:val="003C24AA"/>
    <w:rsid w:val="003C60AF"/>
    <w:rsid w:val="003C6F49"/>
    <w:rsid w:val="003D327C"/>
    <w:rsid w:val="003D517D"/>
    <w:rsid w:val="003D593A"/>
    <w:rsid w:val="003D7632"/>
    <w:rsid w:val="003E0133"/>
    <w:rsid w:val="003E3DE7"/>
    <w:rsid w:val="003F0008"/>
    <w:rsid w:val="003F46B2"/>
    <w:rsid w:val="00400240"/>
    <w:rsid w:val="00414971"/>
    <w:rsid w:val="00423B86"/>
    <w:rsid w:val="00423E13"/>
    <w:rsid w:val="00432562"/>
    <w:rsid w:val="00433136"/>
    <w:rsid w:val="00436618"/>
    <w:rsid w:val="00445710"/>
    <w:rsid w:val="004462A3"/>
    <w:rsid w:val="00446C5B"/>
    <w:rsid w:val="00450C11"/>
    <w:rsid w:val="00450FFA"/>
    <w:rsid w:val="00452AEC"/>
    <w:rsid w:val="00452E35"/>
    <w:rsid w:val="00453674"/>
    <w:rsid w:val="004552B0"/>
    <w:rsid w:val="004762C5"/>
    <w:rsid w:val="00484455"/>
    <w:rsid w:val="00492CEC"/>
    <w:rsid w:val="00493BB2"/>
    <w:rsid w:val="00497B45"/>
    <w:rsid w:val="004A3003"/>
    <w:rsid w:val="004C0429"/>
    <w:rsid w:val="004C1D64"/>
    <w:rsid w:val="004C28C9"/>
    <w:rsid w:val="004C37AB"/>
    <w:rsid w:val="004C4ACE"/>
    <w:rsid w:val="004C6DEA"/>
    <w:rsid w:val="004C7F43"/>
    <w:rsid w:val="004D1880"/>
    <w:rsid w:val="004D1ACB"/>
    <w:rsid w:val="004D5590"/>
    <w:rsid w:val="004E0340"/>
    <w:rsid w:val="004E0A9A"/>
    <w:rsid w:val="004E229A"/>
    <w:rsid w:val="004E28AE"/>
    <w:rsid w:val="004E40F5"/>
    <w:rsid w:val="004E4679"/>
    <w:rsid w:val="004E52DD"/>
    <w:rsid w:val="004E5926"/>
    <w:rsid w:val="004F4697"/>
    <w:rsid w:val="004F5832"/>
    <w:rsid w:val="004F70D1"/>
    <w:rsid w:val="004F75F4"/>
    <w:rsid w:val="00500461"/>
    <w:rsid w:val="00500C08"/>
    <w:rsid w:val="00501131"/>
    <w:rsid w:val="00506BB6"/>
    <w:rsid w:val="005104A3"/>
    <w:rsid w:val="0051146E"/>
    <w:rsid w:val="005119AD"/>
    <w:rsid w:val="00512711"/>
    <w:rsid w:val="00513B65"/>
    <w:rsid w:val="00522CB9"/>
    <w:rsid w:val="00525E80"/>
    <w:rsid w:val="00535579"/>
    <w:rsid w:val="00535A57"/>
    <w:rsid w:val="00540207"/>
    <w:rsid w:val="0054336F"/>
    <w:rsid w:val="0054474F"/>
    <w:rsid w:val="005453E0"/>
    <w:rsid w:val="005470C8"/>
    <w:rsid w:val="00547279"/>
    <w:rsid w:val="005526A5"/>
    <w:rsid w:val="005566A4"/>
    <w:rsid w:val="00556810"/>
    <w:rsid w:val="00557F9D"/>
    <w:rsid w:val="00560D5E"/>
    <w:rsid w:val="00562BE8"/>
    <w:rsid w:val="00565737"/>
    <w:rsid w:val="00565B85"/>
    <w:rsid w:val="005839E0"/>
    <w:rsid w:val="00592C9B"/>
    <w:rsid w:val="00593FE9"/>
    <w:rsid w:val="00594F26"/>
    <w:rsid w:val="0059570C"/>
    <w:rsid w:val="005966A3"/>
    <w:rsid w:val="00596E98"/>
    <w:rsid w:val="005A5199"/>
    <w:rsid w:val="005A7049"/>
    <w:rsid w:val="005B24F0"/>
    <w:rsid w:val="005B6C2F"/>
    <w:rsid w:val="005B7DEA"/>
    <w:rsid w:val="005C3AB8"/>
    <w:rsid w:val="005D278C"/>
    <w:rsid w:val="005D3ED6"/>
    <w:rsid w:val="005E6345"/>
    <w:rsid w:val="005F6252"/>
    <w:rsid w:val="006000E8"/>
    <w:rsid w:val="00612E37"/>
    <w:rsid w:val="00615770"/>
    <w:rsid w:val="00616257"/>
    <w:rsid w:val="006201B5"/>
    <w:rsid w:val="006227D3"/>
    <w:rsid w:val="00624F39"/>
    <w:rsid w:val="00627F5E"/>
    <w:rsid w:val="006313B9"/>
    <w:rsid w:val="00632C11"/>
    <w:rsid w:val="006339B9"/>
    <w:rsid w:val="00634530"/>
    <w:rsid w:val="00634E78"/>
    <w:rsid w:val="0063791A"/>
    <w:rsid w:val="006468F2"/>
    <w:rsid w:val="006507EA"/>
    <w:rsid w:val="00653FDC"/>
    <w:rsid w:val="00656B8D"/>
    <w:rsid w:val="00660EDE"/>
    <w:rsid w:val="00661535"/>
    <w:rsid w:val="00662D21"/>
    <w:rsid w:val="00662EB4"/>
    <w:rsid w:val="006707EB"/>
    <w:rsid w:val="00672897"/>
    <w:rsid w:val="0068054D"/>
    <w:rsid w:val="0068067D"/>
    <w:rsid w:val="006A0671"/>
    <w:rsid w:val="006A0B6A"/>
    <w:rsid w:val="006A1BF7"/>
    <w:rsid w:val="006A394D"/>
    <w:rsid w:val="006A4061"/>
    <w:rsid w:val="006A62C8"/>
    <w:rsid w:val="006B1632"/>
    <w:rsid w:val="006B3FC7"/>
    <w:rsid w:val="006C037F"/>
    <w:rsid w:val="006C1D5B"/>
    <w:rsid w:val="006C317A"/>
    <w:rsid w:val="006C4AD8"/>
    <w:rsid w:val="006C6160"/>
    <w:rsid w:val="006D0E0E"/>
    <w:rsid w:val="006D4287"/>
    <w:rsid w:val="006D626F"/>
    <w:rsid w:val="006D7A32"/>
    <w:rsid w:val="006E531B"/>
    <w:rsid w:val="006F269F"/>
    <w:rsid w:val="006F4101"/>
    <w:rsid w:val="006F5C5E"/>
    <w:rsid w:val="006F6D84"/>
    <w:rsid w:val="00704A74"/>
    <w:rsid w:val="00704F4D"/>
    <w:rsid w:val="007103E4"/>
    <w:rsid w:val="00714F15"/>
    <w:rsid w:val="00715046"/>
    <w:rsid w:val="007152F3"/>
    <w:rsid w:val="00720BB9"/>
    <w:rsid w:val="007231E6"/>
    <w:rsid w:val="0072529F"/>
    <w:rsid w:val="00731127"/>
    <w:rsid w:val="00737374"/>
    <w:rsid w:val="007416B1"/>
    <w:rsid w:val="00753467"/>
    <w:rsid w:val="007558B0"/>
    <w:rsid w:val="00763BB1"/>
    <w:rsid w:val="007668F1"/>
    <w:rsid w:val="007677ED"/>
    <w:rsid w:val="00770490"/>
    <w:rsid w:val="0077080E"/>
    <w:rsid w:val="0077094F"/>
    <w:rsid w:val="00772F99"/>
    <w:rsid w:val="00782240"/>
    <w:rsid w:val="00785543"/>
    <w:rsid w:val="00793EFA"/>
    <w:rsid w:val="00796456"/>
    <w:rsid w:val="007A3ADB"/>
    <w:rsid w:val="007A3BA0"/>
    <w:rsid w:val="007A6A17"/>
    <w:rsid w:val="007B2408"/>
    <w:rsid w:val="007B24F1"/>
    <w:rsid w:val="007B415D"/>
    <w:rsid w:val="007B4F71"/>
    <w:rsid w:val="007B5B7A"/>
    <w:rsid w:val="007B69A3"/>
    <w:rsid w:val="007B7EB8"/>
    <w:rsid w:val="007C15C8"/>
    <w:rsid w:val="007C4FE0"/>
    <w:rsid w:val="007C6298"/>
    <w:rsid w:val="007D3B9A"/>
    <w:rsid w:val="007E0584"/>
    <w:rsid w:val="007E23EF"/>
    <w:rsid w:val="007E3F91"/>
    <w:rsid w:val="007E5D11"/>
    <w:rsid w:val="007E6B94"/>
    <w:rsid w:val="007E719A"/>
    <w:rsid w:val="007E7D1D"/>
    <w:rsid w:val="007F056F"/>
    <w:rsid w:val="007F1457"/>
    <w:rsid w:val="007F4B2B"/>
    <w:rsid w:val="007F54E5"/>
    <w:rsid w:val="00802E4C"/>
    <w:rsid w:val="00803CA6"/>
    <w:rsid w:val="008062E5"/>
    <w:rsid w:val="00812323"/>
    <w:rsid w:val="00812F3F"/>
    <w:rsid w:val="008156AD"/>
    <w:rsid w:val="00821749"/>
    <w:rsid w:val="008254CD"/>
    <w:rsid w:val="00825C55"/>
    <w:rsid w:val="00826A75"/>
    <w:rsid w:val="00830424"/>
    <w:rsid w:val="0083448B"/>
    <w:rsid w:val="00835398"/>
    <w:rsid w:val="00836E9A"/>
    <w:rsid w:val="0084231C"/>
    <w:rsid w:val="00845BBA"/>
    <w:rsid w:val="00845CA1"/>
    <w:rsid w:val="00846295"/>
    <w:rsid w:val="00850C4E"/>
    <w:rsid w:val="00852CAF"/>
    <w:rsid w:val="00856C46"/>
    <w:rsid w:val="008609B1"/>
    <w:rsid w:val="008620B8"/>
    <w:rsid w:val="00867976"/>
    <w:rsid w:val="00873C23"/>
    <w:rsid w:val="008745FE"/>
    <w:rsid w:val="00877912"/>
    <w:rsid w:val="00891A2E"/>
    <w:rsid w:val="008938F2"/>
    <w:rsid w:val="00893DA0"/>
    <w:rsid w:val="00895B35"/>
    <w:rsid w:val="008A1173"/>
    <w:rsid w:val="008A21B6"/>
    <w:rsid w:val="008A5B92"/>
    <w:rsid w:val="008A7EA7"/>
    <w:rsid w:val="008B3C44"/>
    <w:rsid w:val="008B699D"/>
    <w:rsid w:val="008C0ABB"/>
    <w:rsid w:val="008C4504"/>
    <w:rsid w:val="008C47A7"/>
    <w:rsid w:val="008D19DC"/>
    <w:rsid w:val="008D2E84"/>
    <w:rsid w:val="008D482B"/>
    <w:rsid w:val="008D5AD2"/>
    <w:rsid w:val="008D6083"/>
    <w:rsid w:val="008D617D"/>
    <w:rsid w:val="008D6781"/>
    <w:rsid w:val="008D692E"/>
    <w:rsid w:val="008D701F"/>
    <w:rsid w:val="008E2A06"/>
    <w:rsid w:val="008E4057"/>
    <w:rsid w:val="008E5B61"/>
    <w:rsid w:val="00901A04"/>
    <w:rsid w:val="00901D11"/>
    <w:rsid w:val="00904870"/>
    <w:rsid w:val="00922F6B"/>
    <w:rsid w:val="009241B6"/>
    <w:rsid w:val="00924A41"/>
    <w:rsid w:val="00925059"/>
    <w:rsid w:val="0093745D"/>
    <w:rsid w:val="00944453"/>
    <w:rsid w:val="00944BE0"/>
    <w:rsid w:val="0094588E"/>
    <w:rsid w:val="00953183"/>
    <w:rsid w:val="009539C7"/>
    <w:rsid w:val="00955A18"/>
    <w:rsid w:val="00956262"/>
    <w:rsid w:val="009705DE"/>
    <w:rsid w:val="0097187A"/>
    <w:rsid w:val="0097621E"/>
    <w:rsid w:val="009766B9"/>
    <w:rsid w:val="00976D23"/>
    <w:rsid w:val="009773EE"/>
    <w:rsid w:val="00977F6B"/>
    <w:rsid w:val="00984F67"/>
    <w:rsid w:val="009878AC"/>
    <w:rsid w:val="0099309D"/>
    <w:rsid w:val="009A1D02"/>
    <w:rsid w:val="009A2182"/>
    <w:rsid w:val="009A3452"/>
    <w:rsid w:val="009A43D8"/>
    <w:rsid w:val="009A7B74"/>
    <w:rsid w:val="009B0169"/>
    <w:rsid w:val="009B1D37"/>
    <w:rsid w:val="009B35C1"/>
    <w:rsid w:val="009B5FE5"/>
    <w:rsid w:val="009C0749"/>
    <w:rsid w:val="009C1B87"/>
    <w:rsid w:val="009C3C01"/>
    <w:rsid w:val="009C3FFE"/>
    <w:rsid w:val="009C691F"/>
    <w:rsid w:val="009C730E"/>
    <w:rsid w:val="009D0196"/>
    <w:rsid w:val="009D474E"/>
    <w:rsid w:val="009D4F3E"/>
    <w:rsid w:val="009E0813"/>
    <w:rsid w:val="009E41EB"/>
    <w:rsid w:val="009F2EBC"/>
    <w:rsid w:val="009F3871"/>
    <w:rsid w:val="009F4993"/>
    <w:rsid w:val="00A04D30"/>
    <w:rsid w:val="00A11C3B"/>
    <w:rsid w:val="00A17B46"/>
    <w:rsid w:val="00A20B03"/>
    <w:rsid w:val="00A21907"/>
    <w:rsid w:val="00A26805"/>
    <w:rsid w:val="00A3039C"/>
    <w:rsid w:val="00A314E8"/>
    <w:rsid w:val="00A3273D"/>
    <w:rsid w:val="00A457F2"/>
    <w:rsid w:val="00A55014"/>
    <w:rsid w:val="00A5726C"/>
    <w:rsid w:val="00A60BB5"/>
    <w:rsid w:val="00A6122C"/>
    <w:rsid w:val="00A622D4"/>
    <w:rsid w:val="00A62943"/>
    <w:rsid w:val="00A748F1"/>
    <w:rsid w:val="00A755BC"/>
    <w:rsid w:val="00A815AC"/>
    <w:rsid w:val="00A8659A"/>
    <w:rsid w:val="00A86CB5"/>
    <w:rsid w:val="00A91D92"/>
    <w:rsid w:val="00A92DA7"/>
    <w:rsid w:val="00A95084"/>
    <w:rsid w:val="00A96CAF"/>
    <w:rsid w:val="00A97EFE"/>
    <w:rsid w:val="00AA059B"/>
    <w:rsid w:val="00AA2505"/>
    <w:rsid w:val="00AA3912"/>
    <w:rsid w:val="00AA4E27"/>
    <w:rsid w:val="00AB71B2"/>
    <w:rsid w:val="00AC5CFF"/>
    <w:rsid w:val="00AD5B83"/>
    <w:rsid w:val="00AD71D4"/>
    <w:rsid w:val="00AE1C91"/>
    <w:rsid w:val="00AE241A"/>
    <w:rsid w:val="00AE36B3"/>
    <w:rsid w:val="00AE7D0B"/>
    <w:rsid w:val="00AF15D1"/>
    <w:rsid w:val="00AF3367"/>
    <w:rsid w:val="00AF3BCF"/>
    <w:rsid w:val="00AF3DD9"/>
    <w:rsid w:val="00AF6545"/>
    <w:rsid w:val="00B111AD"/>
    <w:rsid w:val="00B12FEF"/>
    <w:rsid w:val="00B14961"/>
    <w:rsid w:val="00B14964"/>
    <w:rsid w:val="00B14A18"/>
    <w:rsid w:val="00B14F8E"/>
    <w:rsid w:val="00B17F3B"/>
    <w:rsid w:val="00B320D1"/>
    <w:rsid w:val="00B40779"/>
    <w:rsid w:val="00B41EFC"/>
    <w:rsid w:val="00B44703"/>
    <w:rsid w:val="00B46ACC"/>
    <w:rsid w:val="00B47870"/>
    <w:rsid w:val="00B50CFA"/>
    <w:rsid w:val="00B53DAC"/>
    <w:rsid w:val="00B54907"/>
    <w:rsid w:val="00B55601"/>
    <w:rsid w:val="00B558AA"/>
    <w:rsid w:val="00B55BE9"/>
    <w:rsid w:val="00B6446A"/>
    <w:rsid w:val="00B66247"/>
    <w:rsid w:val="00B67BF9"/>
    <w:rsid w:val="00B714F9"/>
    <w:rsid w:val="00B74098"/>
    <w:rsid w:val="00B745AC"/>
    <w:rsid w:val="00B7563D"/>
    <w:rsid w:val="00B75C39"/>
    <w:rsid w:val="00B77576"/>
    <w:rsid w:val="00B838A8"/>
    <w:rsid w:val="00B97460"/>
    <w:rsid w:val="00BB1897"/>
    <w:rsid w:val="00BB5FB7"/>
    <w:rsid w:val="00BC7284"/>
    <w:rsid w:val="00BC78CC"/>
    <w:rsid w:val="00BD2221"/>
    <w:rsid w:val="00BD2C42"/>
    <w:rsid w:val="00BD736D"/>
    <w:rsid w:val="00BD7B62"/>
    <w:rsid w:val="00BE2AFD"/>
    <w:rsid w:val="00BE4E21"/>
    <w:rsid w:val="00BE63DC"/>
    <w:rsid w:val="00BF12CC"/>
    <w:rsid w:val="00BF4E17"/>
    <w:rsid w:val="00BF518C"/>
    <w:rsid w:val="00C0182C"/>
    <w:rsid w:val="00C023D2"/>
    <w:rsid w:val="00C0599C"/>
    <w:rsid w:val="00C074D4"/>
    <w:rsid w:val="00C07F9C"/>
    <w:rsid w:val="00C13D9D"/>
    <w:rsid w:val="00C14D1B"/>
    <w:rsid w:val="00C168FE"/>
    <w:rsid w:val="00C17408"/>
    <w:rsid w:val="00C22388"/>
    <w:rsid w:val="00C25AB5"/>
    <w:rsid w:val="00C26DD6"/>
    <w:rsid w:val="00C26DDD"/>
    <w:rsid w:val="00C31C4C"/>
    <w:rsid w:val="00C33B9C"/>
    <w:rsid w:val="00C36A22"/>
    <w:rsid w:val="00C41FD5"/>
    <w:rsid w:val="00C4242D"/>
    <w:rsid w:val="00C44DF5"/>
    <w:rsid w:val="00C45D54"/>
    <w:rsid w:val="00C5153F"/>
    <w:rsid w:val="00C53CD3"/>
    <w:rsid w:val="00C5594F"/>
    <w:rsid w:val="00C60D8E"/>
    <w:rsid w:val="00C72315"/>
    <w:rsid w:val="00C74D1E"/>
    <w:rsid w:val="00C83540"/>
    <w:rsid w:val="00C8650E"/>
    <w:rsid w:val="00C929B5"/>
    <w:rsid w:val="00C971F8"/>
    <w:rsid w:val="00CA34B5"/>
    <w:rsid w:val="00CB4A95"/>
    <w:rsid w:val="00CB4D1B"/>
    <w:rsid w:val="00CC0ED4"/>
    <w:rsid w:val="00CC2EE7"/>
    <w:rsid w:val="00CC540A"/>
    <w:rsid w:val="00CC64D9"/>
    <w:rsid w:val="00CD1ACF"/>
    <w:rsid w:val="00CD24B1"/>
    <w:rsid w:val="00CD5B0E"/>
    <w:rsid w:val="00CD64C6"/>
    <w:rsid w:val="00CD6BB4"/>
    <w:rsid w:val="00CE40D0"/>
    <w:rsid w:val="00CF0AC8"/>
    <w:rsid w:val="00CF2550"/>
    <w:rsid w:val="00CF2696"/>
    <w:rsid w:val="00CF37B8"/>
    <w:rsid w:val="00CF3910"/>
    <w:rsid w:val="00D00CA3"/>
    <w:rsid w:val="00D04202"/>
    <w:rsid w:val="00D07F04"/>
    <w:rsid w:val="00D10CEA"/>
    <w:rsid w:val="00D13BCC"/>
    <w:rsid w:val="00D17530"/>
    <w:rsid w:val="00D23401"/>
    <w:rsid w:val="00D24289"/>
    <w:rsid w:val="00D26D6B"/>
    <w:rsid w:val="00D26E1D"/>
    <w:rsid w:val="00D32568"/>
    <w:rsid w:val="00D32C20"/>
    <w:rsid w:val="00D32E14"/>
    <w:rsid w:val="00D349DB"/>
    <w:rsid w:val="00D45443"/>
    <w:rsid w:val="00D466ED"/>
    <w:rsid w:val="00D5015B"/>
    <w:rsid w:val="00D513A2"/>
    <w:rsid w:val="00D5579C"/>
    <w:rsid w:val="00D61883"/>
    <w:rsid w:val="00D651D1"/>
    <w:rsid w:val="00D736DC"/>
    <w:rsid w:val="00D82358"/>
    <w:rsid w:val="00D83CBD"/>
    <w:rsid w:val="00D86FD6"/>
    <w:rsid w:val="00D934E7"/>
    <w:rsid w:val="00D96538"/>
    <w:rsid w:val="00DA18E1"/>
    <w:rsid w:val="00DA31E8"/>
    <w:rsid w:val="00DA5659"/>
    <w:rsid w:val="00DA58E5"/>
    <w:rsid w:val="00DA6345"/>
    <w:rsid w:val="00DB157A"/>
    <w:rsid w:val="00DB36E8"/>
    <w:rsid w:val="00DB477C"/>
    <w:rsid w:val="00DC0BB8"/>
    <w:rsid w:val="00DC1E8B"/>
    <w:rsid w:val="00DC29BC"/>
    <w:rsid w:val="00DD066F"/>
    <w:rsid w:val="00DD1D40"/>
    <w:rsid w:val="00DE147D"/>
    <w:rsid w:val="00DE27ED"/>
    <w:rsid w:val="00DF18D5"/>
    <w:rsid w:val="00DF4679"/>
    <w:rsid w:val="00DF62D3"/>
    <w:rsid w:val="00DF6465"/>
    <w:rsid w:val="00E07555"/>
    <w:rsid w:val="00E107A6"/>
    <w:rsid w:val="00E11291"/>
    <w:rsid w:val="00E1384B"/>
    <w:rsid w:val="00E15DF9"/>
    <w:rsid w:val="00E174E3"/>
    <w:rsid w:val="00E2069D"/>
    <w:rsid w:val="00E25502"/>
    <w:rsid w:val="00E25C03"/>
    <w:rsid w:val="00E32944"/>
    <w:rsid w:val="00E32D79"/>
    <w:rsid w:val="00E33BE1"/>
    <w:rsid w:val="00E37A59"/>
    <w:rsid w:val="00E4085C"/>
    <w:rsid w:val="00E422A7"/>
    <w:rsid w:val="00E50C32"/>
    <w:rsid w:val="00E53480"/>
    <w:rsid w:val="00E53805"/>
    <w:rsid w:val="00E5407A"/>
    <w:rsid w:val="00E61429"/>
    <w:rsid w:val="00E61A74"/>
    <w:rsid w:val="00E641EB"/>
    <w:rsid w:val="00E66211"/>
    <w:rsid w:val="00E72124"/>
    <w:rsid w:val="00E72F34"/>
    <w:rsid w:val="00E85234"/>
    <w:rsid w:val="00E8719E"/>
    <w:rsid w:val="00E87253"/>
    <w:rsid w:val="00E933D6"/>
    <w:rsid w:val="00E95199"/>
    <w:rsid w:val="00EA08AA"/>
    <w:rsid w:val="00EA66A7"/>
    <w:rsid w:val="00EB1460"/>
    <w:rsid w:val="00EB4D69"/>
    <w:rsid w:val="00EB62C3"/>
    <w:rsid w:val="00EC3D8A"/>
    <w:rsid w:val="00EC779C"/>
    <w:rsid w:val="00ED019F"/>
    <w:rsid w:val="00ED072A"/>
    <w:rsid w:val="00ED33D3"/>
    <w:rsid w:val="00ED6EE8"/>
    <w:rsid w:val="00EE14E6"/>
    <w:rsid w:val="00EE3C95"/>
    <w:rsid w:val="00EE471F"/>
    <w:rsid w:val="00EE6038"/>
    <w:rsid w:val="00EE678A"/>
    <w:rsid w:val="00EF71D3"/>
    <w:rsid w:val="00F02598"/>
    <w:rsid w:val="00F0357E"/>
    <w:rsid w:val="00F03D68"/>
    <w:rsid w:val="00F05B3A"/>
    <w:rsid w:val="00F10A6E"/>
    <w:rsid w:val="00F2093F"/>
    <w:rsid w:val="00F21984"/>
    <w:rsid w:val="00F22941"/>
    <w:rsid w:val="00F23085"/>
    <w:rsid w:val="00F256B3"/>
    <w:rsid w:val="00F363E5"/>
    <w:rsid w:val="00F414E8"/>
    <w:rsid w:val="00F51A58"/>
    <w:rsid w:val="00F5278E"/>
    <w:rsid w:val="00F52BE8"/>
    <w:rsid w:val="00F55691"/>
    <w:rsid w:val="00F57A1B"/>
    <w:rsid w:val="00F61C8E"/>
    <w:rsid w:val="00F61E14"/>
    <w:rsid w:val="00F63B1C"/>
    <w:rsid w:val="00F7260E"/>
    <w:rsid w:val="00F7414C"/>
    <w:rsid w:val="00F752E8"/>
    <w:rsid w:val="00F75F87"/>
    <w:rsid w:val="00F80247"/>
    <w:rsid w:val="00F80B92"/>
    <w:rsid w:val="00F81750"/>
    <w:rsid w:val="00F8182F"/>
    <w:rsid w:val="00F85B14"/>
    <w:rsid w:val="00F86336"/>
    <w:rsid w:val="00F91724"/>
    <w:rsid w:val="00F928F6"/>
    <w:rsid w:val="00F92A58"/>
    <w:rsid w:val="00F92FE5"/>
    <w:rsid w:val="00FA1B25"/>
    <w:rsid w:val="00FA202E"/>
    <w:rsid w:val="00FA2CF8"/>
    <w:rsid w:val="00FB0EE3"/>
    <w:rsid w:val="00FB75B0"/>
    <w:rsid w:val="00FC53FB"/>
    <w:rsid w:val="00FC709D"/>
    <w:rsid w:val="00FC7756"/>
    <w:rsid w:val="00FD0448"/>
    <w:rsid w:val="00FE0CC8"/>
    <w:rsid w:val="00FE424F"/>
    <w:rsid w:val="00FF26C9"/>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C3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ind w:left="340"/>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0" w:line="480" w:lineRule="auto"/>
      <w:ind w:left="720" w:hanging="720"/>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1F1E13"/>
    <w:pPr>
      <w:keepNext/>
      <w:spacing w:before="240" w:after="120" w:line="240" w:lineRule="auto"/>
      <w:jc w:val="left"/>
    </w:pPr>
    <w:rPr>
      <w:b/>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concuadrculaclara"/>
    <w:uiPriority w:val="99"/>
    <w:rsid w:val="00547279"/>
    <w:pPr>
      <w:keepNext/>
    </w:pPr>
    <w:rPr>
      <w:sz w:val="20"/>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tblHeader/>
      <w:jc w:val="center"/>
    </w:trPr>
    <w:tblStylePr w:type="firstRow">
      <w:rPr>
        <w:rFonts w:asciiTheme="majorHAnsi" w:hAnsiTheme="majorHAnsi"/>
        <w:sz w:val="20"/>
      </w:rPr>
      <w:tblPr/>
      <w:tcPr>
        <w:tcBorders>
          <w:top w:val="single" w:sz="12" w:space="0" w:color="auto"/>
          <w:left w:val="nil"/>
          <w:bottom w:val="nil"/>
          <w:right w:val="nil"/>
          <w:insideH w:val="nil"/>
          <w:insideV w:val="nil"/>
          <w:tl2br w:val="nil"/>
          <w:tr2bl w:val="nil"/>
        </w:tcBorders>
      </w:tc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140600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385102936">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895121794">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6420144">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48885605">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290434148">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64EC-326D-4100-8F19-0A0DF7A2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51</Pages>
  <Words>22332</Words>
  <Characters>122827</Characters>
  <Application>Microsoft Office Word</Application>
  <DocSecurity>0</DocSecurity>
  <Lines>1023</Lines>
  <Paragraphs>289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 Cáceres</cp:lastModifiedBy>
  <cp:revision>11</cp:revision>
  <cp:lastPrinted>2019-04-17T22:08:00Z</cp:lastPrinted>
  <dcterms:created xsi:type="dcterms:W3CDTF">2021-04-26T17:44:00Z</dcterms:created>
  <dcterms:modified xsi:type="dcterms:W3CDTF">2021-05-05T12:51:00Z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id="YIArKrMB"/&gt;&lt;style id="http://www.zotero.org/styles/apa-no-ampersand" locale="es-ES"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