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C26DDD" w:rsidRDefault="00DA18E1" w:rsidP="00DA18E1">
      <w:pPr>
        <w:jc w:val="center"/>
        <w:rPr>
          <w:b/>
          <w:caps/>
          <w:sz w:val="28"/>
        </w:rPr>
      </w:pPr>
      <w:r w:rsidRPr="00C26DDD">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Curso: Taller de Investigación</w:t>
      </w:r>
    </w:p>
    <w:p w14:paraId="268CE14A" w14:textId="0E70D5A3" w:rsidR="00CD64C6"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AVANCE PARCIAL</w:t>
      </w:r>
    </w:p>
    <w:p w14:paraId="19C08644" w14:textId="46454D5F" w:rsidR="00DA18E1" w:rsidRPr="00C26DDD" w:rsidRDefault="00DA18E1" w:rsidP="00DA18E1">
      <w:pPr>
        <w:spacing w:after="200" w:line="276" w:lineRule="auto"/>
        <w:jc w:val="center"/>
        <w:rPr>
          <w:rFonts w:asciiTheme="majorHAnsi" w:hAnsiTheme="majorHAnsi" w:cstheme="majorHAnsi"/>
          <w:b/>
          <w:sz w:val="28"/>
        </w:rPr>
      </w:pPr>
    </w:p>
    <w:p w14:paraId="6BB61F75" w14:textId="77777777" w:rsidR="00DA18E1" w:rsidRPr="00C26DDD" w:rsidRDefault="00DA18E1" w:rsidP="00DA18E1">
      <w:pPr>
        <w:spacing w:after="200" w:line="276" w:lineRule="auto"/>
        <w:jc w:val="center"/>
        <w:rPr>
          <w:rFonts w:asciiTheme="majorHAnsi" w:hAnsiTheme="majorHAnsi" w:cstheme="majorHAnsi"/>
          <w:b/>
          <w:sz w:val="28"/>
        </w:rPr>
      </w:pPr>
    </w:p>
    <w:p w14:paraId="5F0202DF" w14:textId="152CD8E7"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Presentado por:</w:t>
      </w:r>
    </w:p>
    <w:p w14:paraId="7489C678" w14:textId="77777777" w:rsidR="00DA18E1" w:rsidRPr="00C26DDD" w:rsidRDefault="00DA18E1" w:rsidP="00DA18E1">
      <w:pPr>
        <w:spacing w:after="200" w:line="276" w:lineRule="auto"/>
        <w:jc w:val="center"/>
        <w:rPr>
          <w:rFonts w:asciiTheme="majorHAnsi" w:hAnsiTheme="majorHAnsi" w:cstheme="majorHAnsi"/>
          <w:b/>
          <w:sz w:val="28"/>
        </w:rPr>
      </w:pPr>
    </w:p>
    <w:p w14:paraId="7932904E" w14:textId="099B5F7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Sr. Diego Nicolás Uriarte Cáceres</w:t>
      </w:r>
    </w:p>
    <w:p w14:paraId="28A96897" w14:textId="507A868C" w:rsidR="00DA18E1" w:rsidRPr="00C26DDD" w:rsidRDefault="00DA18E1" w:rsidP="00DA18E1">
      <w:pPr>
        <w:spacing w:after="200" w:line="276" w:lineRule="auto"/>
        <w:jc w:val="center"/>
        <w:rPr>
          <w:rFonts w:asciiTheme="majorHAnsi" w:hAnsiTheme="majorHAnsi" w:cstheme="majorHAnsi"/>
          <w:b/>
          <w:sz w:val="28"/>
        </w:rPr>
      </w:pPr>
    </w:p>
    <w:p w14:paraId="0788949C" w14:textId="53BB818E" w:rsidR="00DA18E1" w:rsidRPr="00C26DDD" w:rsidRDefault="00DA18E1" w:rsidP="00DA18E1">
      <w:pPr>
        <w:spacing w:after="200" w:line="276" w:lineRule="auto"/>
        <w:jc w:val="center"/>
        <w:rPr>
          <w:rFonts w:asciiTheme="majorHAnsi" w:hAnsiTheme="majorHAnsi" w:cstheme="majorHAnsi"/>
          <w:b/>
          <w:sz w:val="28"/>
        </w:rPr>
      </w:pPr>
    </w:p>
    <w:p w14:paraId="5B661919" w14:textId="77777777" w:rsidR="00DA18E1" w:rsidRPr="00C26DDD" w:rsidRDefault="00DA18E1" w:rsidP="00DA18E1">
      <w:pPr>
        <w:spacing w:after="200" w:line="276" w:lineRule="auto"/>
        <w:jc w:val="center"/>
        <w:rPr>
          <w:rFonts w:asciiTheme="majorHAnsi" w:hAnsiTheme="majorHAnsi" w:cstheme="majorHAnsi"/>
          <w:b/>
          <w:sz w:val="28"/>
        </w:rPr>
      </w:pPr>
    </w:p>
    <w:p w14:paraId="13A6F051" w14:textId="39BD2CE0"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r w:rsidRPr="00C26DDD">
        <w:rPr>
          <w:rFonts w:asciiTheme="majorHAnsi" w:hAnsiTheme="majorHAnsi" w:cstheme="majorHAnsi"/>
          <w:b/>
          <w:sz w:val="28"/>
        </w:rPr>
        <w:t>Asesor</w:t>
      </w:r>
      <w:r w:rsidRPr="00C26DDD">
        <w:rPr>
          <w:rFonts w:asciiTheme="majorHAnsi" w:hAnsiTheme="majorHAnsi" w:cstheme="majorHAnsi"/>
          <w:b/>
          <w:sz w:val="28"/>
          <w:szCs w:val="28"/>
        </w:rPr>
        <w:t xml:space="preserve">: </w:t>
      </w:r>
      <w:r w:rsidRPr="00C26DDD">
        <w:rPr>
          <w:rFonts w:asciiTheme="majorHAnsi" w:hAnsiTheme="majorHAnsi" w:cstheme="majorHAnsi"/>
          <w:b/>
          <w:bCs/>
          <w:color w:val="202124"/>
          <w:spacing w:val="3"/>
          <w:sz w:val="28"/>
          <w:szCs w:val="28"/>
          <w:lang w:val="es-ES"/>
        </w:rPr>
        <w:t>José Guillermo Díaz Gamarra</w:t>
      </w:r>
    </w:p>
    <w:p w14:paraId="296F58DE" w14:textId="69FEB635"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p>
    <w:p w14:paraId="6BA1117A" w14:textId="28525F70" w:rsidR="00DA18E1" w:rsidRPr="00C26DDD" w:rsidRDefault="00DA18E1" w:rsidP="00DA18E1">
      <w:pPr>
        <w:spacing w:after="200" w:line="276" w:lineRule="auto"/>
        <w:jc w:val="center"/>
        <w:rPr>
          <w:rFonts w:asciiTheme="majorHAnsi" w:hAnsiTheme="majorHAnsi" w:cstheme="majorHAnsi"/>
          <w:b/>
          <w:sz w:val="28"/>
          <w:szCs w:val="28"/>
        </w:rPr>
      </w:pPr>
      <w:r w:rsidRPr="00C26DDD">
        <w:rPr>
          <w:rFonts w:asciiTheme="majorHAnsi" w:hAnsiTheme="majorHAnsi" w:cstheme="majorHAnsi"/>
          <w:b/>
          <w:bCs/>
          <w:color w:val="202124"/>
          <w:spacing w:val="3"/>
          <w:sz w:val="28"/>
          <w:szCs w:val="28"/>
          <w:lang w:val="es-ES"/>
        </w:rPr>
        <w:t>2019</w:t>
      </w:r>
    </w:p>
    <w:p w14:paraId="4EAC6363" w14:textId="0C938D78" w:rsidR="00DA18E1" w:rsidRPr="00DA18E1" w:rsidRDefault="00DA18E1" w:rsidP="00DA18E1">
      <w:pPr>
        <w:spacing w:after="200" w:line="276" w:lineRule="auto"/>
        <w:jc w:val="center"/>
        <w:rPr>
          <w:lang w:val="es-ES"/>
        </w:rPr>
      </w:pPr>
    </w:p>
    <w:p w14:paraId="2873C896" w14:textId="4B6956F3" w:rsidR="00CD64C6" w:rsidRPr="00DA18E1" w:rsidRDefault="00CD64C6">
      <w:pPr>
        <w:spacing w:after="200" w:line="276" w:lineRule="auto"/>
        <w:jc w:val="left"/>
        <w:rPr>
          <w:b/>
        </w:rPr>
      </w:pPr>
      <w:r w:rsidRPr="00DA18E1">
        <w:rPr>
          <w:b/>
        </w:rPr>
        <w:lastRenderedPageBreak/>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DF6465"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DF6465"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DF6465"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DF6465"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DF6465"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DF6465"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DF6465"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DF6465"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DF6465"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DF6465"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DF6465"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DF6465"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DF6465"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DF6465"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DF6465"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DF6465"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DF6465"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DF6465"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DF6465"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DF6465"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7D6ED7E"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0FADB073" w:rsidR="00CD64C6" w:rsidRPr="00C26DD6" w:rsidRDefault="00C26DD6">
      <w:pPr>
        <w:spacing w:after="200" w:line="276" w:lineRule="auto"/>
        <w:jc w:val="left"/>
        <w:rPr>
          <w:b/>
        </w:rPr>
      </w:pPr>
      <w:r w:rsidRPr="00C26DD6">
        <w:rPr>
          <w:b/>
        </w:rPr>
        <w:lastRenderedPageBreak/>
        <w:t>Í</w:t>
      </w:r>
      <w:r w:rsidR="00CD64C6" w:rsidRPr="00C26DD6">
        <w:rPr>
          <w:b/>
        </w:rPr>
        <w:t>NDICE DE TABLAS</w:t>
      </w:r>
    </w:p>
    <w:p w14:paraId="1AA4410E" w14:textId="794D1061" w:rsidR="00DA18E1" w:rsidRDefault="00DA18E1">
      <w:pPr>
        <w:pStyle w:val="Tabladeilustraciones"/>
        <w:tabs>
          <w:tab w:val="right" w:leader="dot" w:pos="8493"/>
        </w:tabs>
        <w:rPr>
          <w:noProof/>
        </w:rPr>
      </w:pPr>
      <w:r>
        <w:fldChar w:fldCharType="begin"/>
      </w:r>
      <w:r>
        <w:instrText xml:space="preserve"> TOC \h \z \c "Tabla" </w:instrText>
      </w:r>
      <w:r>
        <w:fldChar w:fldCharType="separate"/>
      </w:r>
      <w:hyperlink w:anchor="_Toc6348796" w:history="1">
        <w:r w:rsidRPr="00CF2A25">
          <w:rPr>
            <w:rStyle w:val="Hipervnculo"/>
            <w:rFonts w:eastAsia="Calibri"/>
            <w:noProof/>
          </w:rPr>
          <w:t>Tabla 1: Número de estaciones por razón social para Perú y Lima</w:t>
        </w:r>
        <w:r>
          <w:rPr>
            <w:noProof/>
            <w:webHidden/>
          </w:rPr>
          <w:tab/>
        </w:r>
        <w:r>
          <w:rPr>
            <w:noProof/>
            <w:webHidden/>
          </w:rPr>
          <w:fldChar w:fldCharType="begin"/>
        </w:r>
        <w:r>
          <w:rPr>
            <w:noProof/>
            <w:webHidden/>
          </w:rPr>
          <w:instrText xml:space="preserve"> PAGEREF _Toc6348796 \h </w:instrText>
        </w:r>
        <w:r>
          <w:rPr>
            <w:noProof/>
            <w:webHidden/>
          </w:rPr>
        </w:r>
        <w:r>
          <w:rPr>
            <w:noProof/>
            <w:webHidden/>
          </w:rPr>
          <w:fldChar w:fldCharType="separate"/>
        </w:r>
        <w:r w:rsidR="00560D5E">
          <w:rPr>
            <w:noProof/>
            <w:webHidden/>
          </w:rPr>
          <w:t>13</w:t>
        </w:r>
        <w:r>
          <w:rPr>
            <w:noProof/>
            <w:webHidden/>
          </w:rPr>
          <w:fldChar w:fldCharType="end"/>
        </w:r>
      </w:hyperlink>
    </w:p>
    <w:p w14:paraId="2A608908" w14:textId="194DDDD6" w:rsidR="00DA18E1" w:rsidRDefault="00DF6465">
      <w:pPr>
        <w:pStyle w:val="Tabladeilustraciones"/>
        <w:tabs>
          <w:tab w:val="right" w:leader="dot" w:pos="8493"/>
        </w:tabs>
        <w:rPr>
          <w:noProof/>
        </w:rPr>
      </w:pPr>
      <w:hyperlink w:anchor="_Toc6348797" w:history="1">
        <w:r w:rsidR="00DA18E1" w:rsidRPr="00CF2A25">
          <w:rPr>
            <w:rStyle w:val="Hipervnculo"/>
            <w:rFonts w:eastAsia="Calibri"/>
            <w:noProof/>
          </w:rPr>
          <w:t>Tabla 2: Número de estaciones propias, abanderadas e independientes por marca visible para una muestra de distritos de Lima Metropolitana</w:t>
        </w:r>
        <w:r w:rsidR="00DA18E1">
          <w:rPr>
            <w:noProof/>
            <w:webHidden/>
          </w:rPr>
          <w:tab/>
        </w:r>
        <w:r w:rsidR="00DA18E1">
          <w:rPr>
            <w:noProof/>
            <w:webHidden/>
          </w:rPr>
          <w:fldChar w:fldCharType="begin"/>
        </w:r>
        <w:r w:rsidR="00DA18E1">
          <w:rPr>
            <w:noProof/>
            <w:webHidden/>
          </w:rPr>
          <w:instrText xml:space="preserve"> PAGEREF _Toc6348797 \h </w:instrText>
        </w:r>
        <w:r w:rsidR="00DA18E1">
          <w:rPr>
            <w:noProof/>
            <w:webHidden/>
          </w:rPr>
        </w:r>
        <w:r w:rsidR="00DA18E1">
          <w:rPr>
            <w:noProof/>
            <w:webHidden/>
          </w:rPr>
          <w:fldChar w:fldCharType="separate"/>
        </w:r>
        <w:r w:rsidR="00560D5E">
          <w:rPr>
            <w:noProof/>
            <w:webHidden/>
          </w:rPr>
          <w:t>14</w:t>
        </w:r>
        <w:r w:rsidR="00DA18E1">
          <w:rPr>
            <w:noProof/>
            <w:webHidden/>
          </w:rPr>
          <w:fldChar w:fldCharType="end"/>
        </w:r>
      </w:hyperlink>
    </w:p>
    <w:p w14:paraId="5475D4AB" w14:textId="600447EF" w:rsidR="00DA18E1" w:rsidRDefault="00DF6465">
      <w:pPr>
        <w:pStyle w:val="Tabladeilustraciones"/>
        <w:tabs>
          <w:tab w:val="right" w:leader="dot" w:pos="8493"/>
        </w:tabs>
        <w:rPr>
          <w:noProof/>
        </w:rPr>
      </w:pPr>
      <w:hyperlink w:anchor="_Toc6348798" w:history="1">
        <w:r w:rsidR="00DA18E1" w:rsidRPr="00CF2A25">
          <w:rPr>
            <w:rStyle w:val="Hipervnculo"/>
            <w:rFonts w:eastAsia="Calibri"/>
            <w:noProof/>
          </w:rPr>
          <w:t>Tabla 3: Estadística descriptiva</w:t>
        </w:r>
        <w:r w:rsidR="00DA18E1">
          <w:rPr>
            <w:noProof/>
            <w:webHidden/>
          </w:rPr>
          <w:tab/>
        </w:r>
        <w:r w:rsidR="00DA18E1">
          <w:rPr>
            <w:noProof/>
            <w:webHidden/>
          </w:rPr>
          <w:fldChar w:fldCharType="begin"/>
        </w:r>
        <w:r w:rsidR="00DA18E1">
          <w:rPr>
            <w:noProof/>
            <w:webHidden/>
          </w:rPr>
          <w:instrText xml:space="preserve"> PAGEREF _Toc6348798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476C7904" w14:textId="39F0AB44" w:rsidR="00DA18E1" w:rsidRDefault="00DF6465">
      <w:pPr>
        <w:pStyle w:val="Tabladeilustraciones"/>
        <w:tabs>
          <w:tab w:val="right" w:leader="dot" w:pos="8493"/>
        </w:tabs>
        <w:rPr>
          <w:noProof/>
        </w:rPr>
      </w:pPr>
      <w:hyperlink w:anchor="_Toc6348799" w:history="1">
        <w:r w:rsidR="00DA18E1" w:rsidRPr="00CF2A25">
          <w:rPr>
            <w:rStyle w:val="Hipervnculo"/>
            <w:rFonts w:eastAsia="Calibri"/>
            <w:noProof/>
          </w:rPr>
          <w:t>Tabla 4: Resultados de regresión lineal por MCO - Combustible Diésel DB5-S50</w:t>
        </w:r>
        <w:r w:rsidR="00DA18E1">
          <w:rPr>
            <w:noProof/>
            <w:webHidden/>
          </w:rPr>
          <w:tab/>
        </w:r>
        <w:r w:rsidR="00DA18E1">
          <w:rPr>
            <w:noProof/>
            <w:webHidden/>
          </w:rPr>
          <w:fldChar w:fldCharType="begin"/>
        </w:r>
        <w:r w:rsidR="00DA18E1">
          <w:rPr>
            <w:noProof/>
            <w:webHidden/>
          </w:rPr>
          <w:instrText xml:space="preserve"> PAGEREF _Toc6348799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276B6094" w14:textId="1F5129BF" w:rsidR="00DA18E1" w:rsidRDefault="00DF6465">
      <w:pPr>
        <w:pStyle w:val="Tabladeilustraciones"/>
        <w:tabs>
          <w:tab w:val="right" w:leader="dot" w:pos="8493"/>
        </w:tabs>
        <w:rPr>
          <w:noProof/>
        </w:rPr>
      </w:pPr>
      <w:hyperlink w:anchor="_Toc6348800" w:history="1">
        <w:r w:rsidR="00DA18E1" w:rsidRPr="00CF2A25">
          <w:rPr>
            <w:rStyle w:val="Hipervnculo"/>
            <w:rFonts w:eastAsia="Calibri"/>
            <w:noProof/>
          </w:rPr>
          <w:t>Tabla 5: Pruebas de LR para simplificar el modelo espacial de Durbin</w:t>
        </w:r>
        <w:r w:rsidR="00DA18E1">
          <w:rPr>
            <w:noProof/>
            <w:webHidden/>
          </w:rPr>
          <w:tab/>
        </w:r>
        <w:r w:rsidR="00DA18E1">
          <w:rPr>
            <w:noProof/>
            <w:webHidden/>
          </w:rPr>
          <w:fldChar w:fldCharType="begin"/>
        </w:r>
        <w:r w:rsidR="00DA18E1">
          <w:rPr>
            <w:noProof/>
            <w:webHidden/>
          </w:rPr>
          <w:instrText xml:space="preserve"> PAGEREF _Toc6348800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5D64C43D" w14:textId="38FE158C" w:rsidR="00DA18E1" w:rsidRDefault="00DF6465">
      <w:pPr>
        <w:pStyle w:val="Tabladeilustraciones"/>
        <w:tabs>
          <w:tab w:val="right" w:leader="dot" w:pos="8493"/>
        </w:tabs>
        <w:rPr>
          <w:noProof/>
        </w:rPr>
      </w:pPr>
      <w:hyperlink w:anchor="_Toc6348801" w:history="1">
        <w:r w:rsidR="00DA18E1" w:rsidRPr="00CF2A25">
          <w:rPr>
            <w:rStyle w:val="Hipervnculo"/>
            <w:rFonts w:eastAsia="Calibri"/>
            <w:noProof/>
          </w:rPr>
          <w:t>Tabla 6: Resultados del modelo autoregresivo espacial estimado por ML</w:t>
        </w:r>
        <w:r w:rsidR="00DA18E1">
          <w:rPr>
            <w:noProof/>
            <w:webHidden/>
          </w:rPr>
          <w:tab/>
        </w:r>
        <w:r w:rsidR="00DA18E1">
          <w:rPr>
            <w:noProof/>
            <w:webHidden/>
          </w:rPr>
          <w:fldChar w:fldCharType="begin"/>
        </w:r>
        <w:r w:rsidR="00DA18E1">
          <w:rPr>
            <w:noProof/>
            <w:webHidden/>
          </w:rPr>
          <w:instrText xml:space="preserve"> PAGEREF _Toc6348801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7DC93405" w14:textId="79BE5EA8" w:rsidR="00DA18E1" w:rsidRDefault="00DF6465">
      <w:pPr>
        <w:pStyle w:val="Tabladeilustraciones"/>
        <w:tabs>
          <w:tab w:val="right" w:leader="dot" w:pos="8493"/>
        </w:tabs>
        <w:rPr>
          <w:noProof/>
        </w:rPr>
      </w:pPr>
      <w:hyperlink w:anchor="_Toc6348802" w:history="1">
        <w:r w:rsidR="00DA18E1" w:rsidRPr="00CF2A25">
          <w:rPr>
            <w:rStyle w:val="Hipervnculo"/>
            <w:rFonts w:eastAsia="Calibri"/>
            <w:noProof/>
          </w:rPr>
          <w:t>Tabla 7: Estimación por efectos fijos a nivel de estación y de tiempo</w:t>
        </w:r>
        <w:r w:rsidR="00DA18E1">
          <w:rPr>
            <w:noProof/>
            <w:webHidden/>
          </w:rPr>
          <w:tab/>
        </w:r>
        <w:r w:rsidR="00DA18E1">
          <w:rPr>
            <w:noProof/>
            <w:webHidden/>
          </w:rPr>
          <w:fldChar w:fldCharType="begin"/>
        </w:r>
        <w:r w:rsidR="00DA18E1">
          <w:rPr>
            <w:noProof/>
            <w:webHidden/>
          </w:rPr>
          <w:instrText xml:space="preserve"> PAGEREF _Toc6348802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2CCD796F" w14:textId="4E421E68"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16509EBB" w:rsidR="00CD64C6" w:rsidRPr="00C26DD6" w:rsidRDefault="00C26DD6">
      <w:pPr>
        <w:spacing w:after="200" w:line="276" w:lineRule="auto"/>
        <w:jc w:val="left"/>
        <w:rPr>
          <w:b/>
        </w:rPr>
      </w:pPr>
      <w:r w:rsidRPr="00C26DD6">
        <w:rPr>
          <w:b/>
        </w:rPr>
        <w:lastRenderedPageBreak/>
        <w:t>Í</w:t>
      </w:r>
      <w:r w:rsidR="00CD64C6" w:rsidRPr="00C26DD6">
        <w:rPr>
          <w:b/>
        </w:rPr>
        <w:t>NDICE DE GRAFICOS</w:t>
      </w:r>
    </w:p>
    <w:p w14:paraId="2C365613" w14:textId="64E4E8F6" w:rsidR="00C26DD6" w:rsidRPr="00C26DD6"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6348818" w:history="1">
        <w:r w:rsidRPr="00C26DD6">
          <w:rPr>
            <w:rStyle w:val="Hipervnculo"/>
            <w:rFonts w:eastAsia="Calibri"/>
            <w:noProof/>
          </w:rPr>
          <w:t>Gráfico 1: Modelos de dependencia espacial para datos de corte transversal</w:t>
        </w:r>
        <w:r w:rsidRPr="00C26DD6">
          <w:rPr>
            <w:noProof/>
            <w:webHidden/>
          </w:rPr>
          <w:tab/>
        </w:r>
        <w:r w:rsidRPr="00C26DD6">
          <w:rPr>
            <w:noProof/>
            <w:webHidden/>
          </w:rPr>
          <w:fldChar w:fldCharType="begin"/>
        </w:r>
        <w:r w:rsidRPr="00C26DD6">
          <w:rPr>
            <w:noProof/>
            <w:webHidden/>
          </w:rPr>
          <w:instrText xml:space="preserve"> PAGEREF _Toc6348818 \h </w:instrText>
        </w:r>
        <w:r w:rsidRPr="00C26DD6">
          <w:rPr>
            <w:noProof/>
            <w:webHidden/>
          </w:rPr>
        </w:r>
        <w:r w:rsidRPr="00C26DD6">
          <w:rPr>
            <w:noProof/>
            <w:webHidden/>
          </w:rPr>
          <w:fldChar w:fldCharType="separate"/>
        </w:r>
        <w:r w:rsidR="00560D5E">
          <w:rPr>
            <w:noProof/>
            <w:webHidden/>
          </w:rPr>
          <w:t>11</w:t>
        </w:r>
        <w:r w:rsidRPr="00C26DD6">
          <w:rPr>
            <w:noProof/>
            <w:webHidden/>
          </w:rPr>
          <w:fldChar w:fldCharType="end"/>
        </w:r>
      </w:hyperlink>
    </w:p>
    <w:p w14:paraId="3B90D2FF" w14:textId="2E52EEC7" w:rsidR="00C26DD6" w:rsidRDefault="00DF6465">
      <w:pPr>
        <w:pStyle w:val="Tabladeilustraciones"/>
        <w:tabs>
          <w:tab w:val="right" w:leader="dot" w:pos="8493"/>
        </w:tabs>
        <w:rPr>
          <w:rFonts w:eastAsiaTheme="minorEastAsia" w:cstheme="minorBidi"/>
          <w:noProof/>
          <w:lang w:val="en-US"/>
        </w:rPr>
      </w:pPr>
      <w:hyperlink w:anchor="_Toc6348819" w:history="1">
        <w:r w:rsidR="00C26DD6" w:rsidRPr="000C5BB7">
          <w:rPr>
            <w:rStyle w:val="Hipervnculo"/>
            <w:rFonts w:eastAsia="Calibri"/>
            <w:noProof/>
          </w:rPr>
          <w:t>Gráfico 2. Construcción de polígonos de Thiessen alrededor de 20 observaciones</w:t>
        </w:r>
        <w:r w:rsidR="00C26DD6">
          <w:rPr>
            <w:noProof/>
            <w:webHidden/>
          </w:rPr>
          <w:tab/>
        </w:r>
        <w:r w:rsidR="00C26DD6">
          <w:rPr>
            <w:noProof/>
            <w:webHidden/>
          </w:rPr>
          <w:fldChar w:fldCharType="begin"/>
        </w:r>
        <w:r w:rsidR="00C26DD6">
          <w:rPr>
            <w:noProof/>
            <w:webHidden/>
          </w:rPr>
          <w:instrText xml:space="preserve"> PAGEREF _Toc6348819 \h </w:instrText>
        </w:r>
        <w:r w:rsidR="00C26DD6">
          <w:rPr>
            <w:noProof/>
            <w:webHidden/>
          </w:rPr>
        </w:r>
        <w:r w:rsidR="00C26DD6">
          <w:rPr>
            <w:noProof/>
            <w:webHidden/>
          </w:rPr>
          <w:fldChar w:fldCharType="separate"/>
        </w:r>
        <w:r w:rsidR="00560D5E">
          <w:rPr>
            <w:noProof/>
            <w:webHidden/>
          </w:rPr>
          <w:t>12</w:t>
        </w:r>
        <w:r w:rsidR="00C26DD6">
          <w:rPr>
            <w:noProof/>
            <w:webHidden/>
          </w:rPr>
          <w:fldChar w:fldCharType="end"/>
        </w:r>
      </w:hyperlink>
    </w:p>
    <w:p w14:paraId="3DFB4E0A" w14:textId="788BB3ED" w:rsidR="00C26DD6" w:rsidRDefault="00DF6465">
      <w:pPr>
        <w:pStyle w:val="Tabladeilustraciones"/>
        <w:tabs>
          <w:tab w:val="right" w:leader="dot" w:pos="8493"/>
        </w:tabs>
        <w:rPr>
          <w:rFonts w:eastAsiaTheme="minorEastAsia" w:cstheme="minorBidi"/>
          <w:noProof/>
          <w:lang w:val="en-US"/>
        </w:rPr>
      </w:pPr>
      <w:hyperlink w:anchor="_Toc6348820" w:history="1">
        <w:r w:rsidR="00C26DD6" w:rsidRPr="000C5BB7">
          <w:rPr>
            <w:rStyle w:val="Hipervnculo"/>
            <w:rFonts w:eastAsia="Calibri"/>
            <w:noProof/>
          </w:rPr>
          <w:t>Gráfico 3: Precios promedio por tipo de estación para Diésel y Gasolina de 90 octanos</w:t>
        </w:r>
        <w:r w:rsidR="00C26DD6">
          <w:rPr>
            <w:noProof/>
            <w:webHidden/>
          </w:rPr>
          <w:tab/>
        </w:r>
        <w:r w:rsidR="00C26DD6">
          <w:rPr>
            <w:noProof/>
            <w:webHidden/>
          </w:rPr>
          <w:fldChar w:fldCharType="begin"/>
        </w:r>
        <w:r w:rsidR="00C26DD6">
          <w:rPr>
            <w:noProof/>
            <w:webHidden/>
          </w:rPr>
          <w:instrText xml:space="preserve"> PAGEREF _Toc6348820 \h </w:instrText>
        </w:r>
        <w:r w:rsidR="00C26DD6">
          <w:rPr>
            <w:noProof/>
            <w:webHidden/>
          </w:rPr>
        </w:r>
        <w:r w:rsidR="00C26DD6">
          <w:rPr>
            <w:noProof/>
            <w:webHidden/>
          </w:rPr>
          <w:fldChar w:fldCharType="separate"/>
        </w:r>
        <w:r w:rsidR="00560D5E">
          <w:rPr>
            <w:noProof/>
            <w:webHidden/>
          </w:rPr>
          <w:t>14</w:t>
        </w:r>
        <w:r w:rsidR="00C26DD6">
          <w:rPr>
            <w:noProof/>
            <w:webHidden/>
          </w:rPr>
          <w:fldChar w:fldCharType="end"/>
        </w:r>
      </w:hyperlink>
    </w:p>
    <w:p w14:paraId="6CEDA175" w14:textId="064EED7A" w:rsidR="00C26DD6" w:rsidRDefault="00DF6465">
      <w:pPr>
        <w:pStyle w:val="Tabladeilustraciones"/>
        <w:tabs>
          <w:tab w:val="right" w:leader="dot" w:pos="8493"/>
        </w:tabs>
        <w:rPr>
          <w:rFonts w:eastAsiaTheme="minorEastAsia" w:cstheme="minorBidi"/>
          <w:noProof/>
          <w:lang w:val="en-US"/>
        </w:rPr>
      </w:pPr>
      <w:hyperlink w:anchor="_Toc6348821" w:history="1">
        <w:r w:rsidR="00C26DD6" w:rsidRPr="000C5BB7">
          <w:rPr>
            <w:rStyle w:val="Hipervnculo"/>
            <w:rFonts w:eastAsia="Calibri"/>
            <w:noProof/>
          </w:rPr>
          <w:t>Gráfico 4: Distribución de estaciones en distritos de Lima Metropolitana</w:t>
        </w:r>
        <w:r w:rsidR="00C26DD6">
          <w:rPr>
            <w:noProof/>
            <w:webHidden/>
          </w:rPr>
          <w:tab/>
        </w:r>
        <w:r w:rsidR="00C26DD6">
          <w:rPr>
            <w:noProof/>
            <w:webHidden/>
          </w:rPr>
          <w:fldChar w:fldCharType="begin"/>
        </w:r>
        <w:r w:rsidR="00C26DD6">
          <w:rPr>
            <w:noProof/>
            <w:webHidden/>
          </w:rPr>
          <w:instrText xml:space="preserve"> PAGEREF _Toc6348821 \h </w:instrText>
        </w:r>
        <w:r w:rsidR="00C26DD6">
          <w:rPr>
            <w:noProof/>
            <w:webHidden/>
          </w:rPr>
        </w:r>
        <w:r w:rsidR="00C26DD6">
          <w:rPr>
            <w:noProof/>
            <w:webHidden/>
          </w:rPr>
          <w:fldChar w:fldCharType="separate"/>
        </w:r>
        <w:r w:rsidR="00560D5E">
          <w:rPr>
            <w:noProof/>
            <w:webHidden/>
          </w:rPr>
          <w:t>15</w:t>
        </w:r>
        <w:r w:rsidR="00C26DD6">
          <w:rPr>
            <w:noProof/>
            <w:webHidden/>
          </w:rPr>
          <w:fldChar w:fldCharType="end"/>
        </w:r>
      </w:hyperlink>
    </w:p>
    <w:p w14:paraId="7357FECF" w14:textId="1C4634C6" w:rsidR="00C26DD6" w:rsidRDefault="00DF6465">
      <w:pPr>
        <w:pStyle w:val="Tabladeilustraciones"/>
        <w:tabs>
          <w:tab w:val="right" w:leader="dot" w:pos="8493"/>
        </w:tabs>
        <w:rPr>
          <w:rFonts w:eastAsiaTheme="minorEastAsia" w:cstheme="minorBidi"/>
          <w:noProof/>
          <w:lang w:val="en-US"/>
        </w:rPr>
      </w:pPr>
      <w:hyperlink w:anchor="_Toc6348822" w:history="1">
        <w:r w:rsidR="00C26DD6" w:rsidRPr="000C5BB7">
          <w:rPr>
            <w:rStyle w:val="Hipervnculo"/>
            <w:rFonts w:eastAsia="Calibri"/>
            <w:noProof/>
          </w:rPr>
          <w:t>Gráfico 5: Definición de vecinos para una estación de servicios utilizando polígonos de Thiessen</w:t>
        </w:r>
        <w:r w:rsidR="00C26DD6">
          <w:rPr>
            <w:noProof/>
            <w:webHidden/>
          </w:rPr>
          <w:tab/>
        </w:r>
        <w:r w:rsidR="00C26DD6">
          <w:rPr>
            <w:noProof/>
            <w:webHidden/>
          </w:rPr>
          <w:fldChar w:fldCharType="begin"/>
        </w:r>
        <w:r w:rsidR="00C26DD6">
          <w:rPr>
            <w:noProof/>
            <w:webHidden/>
          </w:rPr>
          <w:instrText xml:space="preserve"> PAGEREF _Toc6348822 \h </w:instrText>
        </w:r>
        <w:r w:rsidR="00C26DD6">
          <w:rPr>
            <w:noProof/>
            <w:webHidden/>
          </w:rPr>
        </w:r>
        <w:r w:rsidR="00C26DD6">
          <w:rPr>
            <w:noProof/>
            <w:webHidden/>
          </w:rPr>
          <w:fldChar w:fldCharType="separate"/>
        </w:r>
        <w:r w:rsidR="00560D5E">
          <w:rPr>
            <w:noProof/>
            <w:webHidden/>
          </w:rPr>
          <w:t>16</w:t>
        </w:r>
        <w:r w:rsidR="00C26DD6">
          <w:rPr>
            <w:noProof/>
            <w:webHidden/>
          </w:rPr>
          <w:fldChar w:fldCharType="end"/>
        </w:r>
      </w:hyperlink>
    </w:p>
    <w:p w14:paraId="668B6973" w14:textId="36D5912E"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0" w:name="_Toc6348712"/>
      <w:r w:rsidRPr="002C12C7">
        <w:lastRenderedPageBreak/>
        <w:t>Introducción</w:t>
      </w:r>
      <w:bookmarkEnd w:id="0"/>
    </w:p>
    <w:p w14:paraId="7587CDA5" w14:textId="4CBA3EF4" w:rsidR="00170A3D" w:rsidRDefault="005470C8" w:rsidP="00F57A1B">
      <w:r>
        <w:t xml:space="preserve">Los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r w:rsidR="001B1B76">
        <w:t xml:space="preserve"> </w:t>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w:t>
      </w:r>
      <w:proofErr w:type="spellStart"/>
      <w:r w:rsidR="00D61883">
        <w:t>Aurazo</w:t>
      </w:r>
      <w:proofErr w:type="spellEnd"/>
      <w:r w:rsidR="00D61883">
        <w:t xml:space="preserve">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Bajo esta coyuntura, la presente</w:t>
      </w:r>
      <w:r w:rsidR="002215C9">
        <w:t xml:space="preserve"> investigación busca identificar las principales variables asociadas con las diferencias de precios registradas en las estaciones y la variación de precios entre mercados considerando el rol de la ubicación </w:t>
      </w:r>
      <w:r w:rsidR="00221CA5">
        <w:t>espacial</w:t>
      </w:r>
      <w:r w:rsidR="002215C9">
        <w:t xml:space="preserve"> de </w:t>
      </w:r>
      <w:r w:rsidR="00221CA5">
        <w:t>una estación de combustible</w:t>
      </w:r>
      <w:r w:rsidR="002215C9">
        <w:t xml:space="preserve"> </w:t>
      </w:r>
      <w:r w:rsidR="00221CA5">
        <w:t>con respecto al resto</w:t>
      </w:r>
      <w:r w:rsidR="002215C9">
        <w:t xml:space="preserve">. Como segundo objetivo, el trabajo analiza el </w:t>
      </w:r>
      <w:r w:rsidR="00DB157A">
        <w:t>impacto de una adquisición de 5</w:t>
      </w:r>
      <w:r w:rsidR="002215C9">
        <w:t>% de estaciones operativas en Lima Metropolitana y su efecto en los precios</w:t>
      </w:r>
      <w:r w:rsidR="00DB157A">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1" w:name="_Ref5724450"/>
      <w:bookmarkStart w:id="2" w:name="_Toc6348713"/>
      <w:r w:rsidRPr="002C12C7">
        <w:lastRenderedPageBreak/>
        <w:t>Marco</w:t>
      </w:r>
      <w:r>
        <w:t xml:space="preserve"> Teórico</w:t>
      </w:r>
      <w:bookmarkEnd w:id="1"/>
      <w:bookmarkEnd w:id="2"/>
    </w:p>
    <w:p w14:paraId="535D3837" w14:textId="4FE52810" w:rsidR="00FE424F" w:rsidRPr="002C12C7" w:rsidRDefault="00FE424F" w:rsidP="002C12C7">
      <w:pPr>
        <w:pStyle w:val="Ttulo2"/>
      </w:pPr>
      <w:bookmarkStart w:id="3" w:name="_Toc6348714"/>
      <w:r w:rsidRPr="002C12C7">
        <w:t>Generalidades sobre el mercado de combustibles líquidos</w:t>
      </w:r>
      <w:bookmarkEnd w:id="3"/>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2633F6F1" w:rsidR="000271B0" w:rsidRDefault="00796456" w:rsidP="00F57A1B">
      <w:r w:rsidRPr="00796456">
        <w:rPr>
          <w:noProof/>
        </w:rPr>
        <w:t xml:space="preserve"> </w:t>
      </w:r>
      <w:r w:rsidR="00FE424F">
        <w:t xml:space="preserve">Los combustibles líquidos se producen en complejos industriales a partir del crudo de petróleo. </w:t>
      </w:r>
      <w:r w:rsidR="008D701F">
        <w:t xml:space="preserve">Debido a ser un </w:t>
      </w:r>
      <w:proofErr w:type="spellStart"/>
      <w:r w:rsidR="008D701F">
        <w:rPr>
          <w:i/>
        </w:rPr>
        <w:t>commodity</w:t>
      </w:r>
      <w:proofErr w:type="spellEnd"/>
      <w:r w:rsidR="008D701F">
        <w:rPr>
          <w:i/>
        </w:rPr>
        <w:t xml:space="preserve">,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4" w:name="_Ref5566273"/>
      <w:bookmarkStart w:id="5" w:name="_Toc6348715"/>
      <w:r w:rsidRPr="00FA2CF8">
        <w:lastRenderedPageBreak/>
        <w:t xml:space="preserve">Revisión de la </w:t>
      </w:r>
      <w:r w:rsidRPr="002C12C7">
        <w:t>literatura</w:t>
      </w:r>
      <w:bookmarkEnd w:id="4"/>
      <w:bookmarkEnd w:id="5"/>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proofErr w:type="spellStart"/>
      <w:r w:rsidR="00D466ED">
        <w:t>Clemenz</w:t>
      </w:r>
      <w:proofErr w:type="spellEnd"/>
      <w:r w:rsidR="00D466ED">
        <w:t xml:space="preserve"> y </w:t>
      </w:r>
      <w:proofErr w:type="spellStart"/>
      <w:r w:rsidR="00D466ED">
        <w:t>Gugler</w:t>
      </w:r>
      <w:proofErr w:type="spellEnd"/>
      <w:r w:rsidR="00D466ED">
        <w:t xml:space="preserve">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w:t>
      </w:r>
      <w:proofErr w:type="spellStart"/>
      <w:r w:rsidR="00D466ED" w:rsidRPr="00FA2CF8">
        <w:rPr>
          <w:rFonts w:ascii="Times New Roman" w:hAnsi="Times New Roman"/>
          <w:szCs w:val="24"/>
        </w:rPr>
        <w:t>Contín-Pilart</w:t>
      </w:r>
      <w:proofErr w:type="spellEnd"/>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w:t>
      </w:r>
      <w:proofErr w:type="spellStart"/>
      <w:r w:rsidR="0036311B">
        <w:t>Clemenz</w:t>
      </w:r>
      <w:proofErr w:type="spellEnd"/>
      <w:r w:rsidR="0036311B">
        <w:t xml:space="preserve"> y </w:t>
      </w:r>
      <w:proofErr w:type="spellStart"/>
      <w:r w:rsidR="0036311B">
        <w:t>Gugler</w:t>
      </w:r>
      <w:proofErr w:type="spellEnd"/>
      <w:r w:rsidR="0036311B">
        <w:t xml:space="preserve"> realiza estimaciones a nivel municipal para determinar que mayor número de estaciones por municipalidad reduce los precios promedio de combustible. </w:t>
      </w:r>
    </w:p>
    <w:p w14:paraId="64852463" w14:textId="7B55AD68" w:rsid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proofErr w:type="spellStart"/>
      <w:r w:rsidRPr="00FA2CF8">
        <w:rPr>
          <w:rFonts w:ascii="Times New Roman" w:hAnsi="Times New Roman"/>
        </w:rPr>
        <w:t>Alderighi</w:t>
      </w:r>
      <w:proofErr w:type="spellEnd"/>
      <w:r w:rsidRPr="00FA2CF8">
        <w:rPr>
          <w:rFonts w:ascii="Times New Roman" w:hAnsi="Times New Roman"/>
        </w:rPr>
        <w:t xml:space="preserve">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w:t>
      </w:r>
      <w:proofErr w:type="spellStart"/>
      <w:r w:rsidRPr="00FA2CF8">
        <w:t>interespacial</w:t>
      </w:r>
      <w:proofErr w:type="spellEnd"/>
      <w:r w:rsidRPr="00FA2CF8">
        <w:t>.</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77777777"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w:t>
      </w:r>
      <w:proofErr w:type="spellStart"/>
      <w:r w:rsidRPr="00FA2CF8">
        <w:t>Slade</w:t>
      </w:r>
      <w:proofErr w:type="spellEnd"/>
      <w:r w:rsidRPr="00FA2CF8">
        <w:t xml:space="preserv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w:t>
      </w:r>
      <w:proofErr w:type="spellStart"/>
      <w:r w:rsidRPr="00FA2CF8">
        <w:t>Houde</w:t>
      </w:r>
      <w:proofErr w:type="spellEnd"/>
      <w:r w:rsidRPr="00FA2CF8">
        <w:t xml:space="preserv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w:t>
      </w:r>
      <w:proofErr w:type="spellStart"/>
      <w:r w:rsidRPr="00FA2CF8">
        <w:t>Manuszak</w:t>
      </w:r>
      <w:proofErr w:type="spellEnd"/>
      <w:r w:rsidRPr="00FA2CF8">
        <w:t xml:space="preserve">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w:t>
      </w:r>
      <w:proofErr w:type="spellStart"/>
      <w:r>
        <w:lastRenderedPageBreak/>
        <w:t>Houde</w:t>
      </w:r>
      <w:proofErr w:type="spellEnd"/>
      <w:r>
        <w:t xml:space="preserve"> encuentra que los precios se encuentran afectados por la distribución de trabajadores en su traslado a sus centros laborales. Por otra parte, </w:t>
      </w:r>
      <w:proofErr w:type="spellStart"/>
      <w:r>
        <w:t>Manuszak</w:t>
      </w:r>
      <w:proofErr w:type="spellEnd"/>
      <w:r>
        <w:t xml:space="preserve"> halla que las fusiones entre mayoristas de combustibles permiten que estas extraigan mayores rentas de sus contrapartes minoristas afiliadas, además de beneficiarse en el proceso los mayoristas y minoristas no involucrados en la fusión.</w:t>
      </w:r>
    </w:p>
    <w:p w14:paraId="23CEEC6A" w14:textId="5D42A018" w:rsidR="00FA2CF8" w:rsidRPr="00FA2CF8" w:rsidRDefault="00FA2CF8" w:rsidP="00F57A1B">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w:t>
      </w:r>
      <w:proofErr w:type="spellStart"/>
      <w:r w:rsidRPr="00FA2CF8">
        <w:t>Hosken</w:t>
      </w:r>
      <w:proofErr w:type="spellEnd"/>
      <w:r w:rsidRPr="00FA2CF8">
        <w:t xml:space="preserve">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t>
      </w:r>
      <w:proofErr w:type="spellStart"/>
      <w:r w:rsidRPr="00FA2CF8">
        <w:t>Weiss</w:t>
      </w:r>
      <w:proofErr w:type="spellEnd"/>
      <w:r w:rsidRPr="00FA2CF8">
        <w:t xml:space="preserve">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p>
    <w:p w14:paraId="3641835D" w14:textId="1BC9BC45" w:rsidR="00796456" w:rsidRDefault="00B714F9" w:rsidP="00796456">
      <w:pPr>
        <w:pStyle w:val="Ttulo2"/>
      </w:pPr>
      <w:bookmarkStart w:id="6" w:name="_Toc6348716"/>
      <w:r w:rsidRPr="00CD64C6">
        <w:t>Modelos</w:t>
      </w:r>
      <w:r>
        <w:t xml:space="preserve"> de econometría espacial</w:t>
      </w:r>
      <w:bookmarkEnd w:id="6"/>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dos procesos generadores de datos simultáneos:</w:t>
      </w:r>
    </w:p>
    <w:p w14:paraId="4EDADDA4" w14:textId="0DFAA3F9" w:rsidR="008A5B92" w:rsidRPr="00137AA9" w:rsidRDefault="00DF6465"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7" w:name="_Toc6348717"/>
      <w:r w:rsidRPr="002C12C7">
        <w:t xml:space="preserve">Modelo general de </w:t>
      </w:r>
      <w:proofErr w:type="spellStart"/>
      <w:r w:rsidRPr="002C12C7">
        <w:t>Manski</w:t>
      </w:r>
      <w:bookmarkEnd w:id="7"/>
      <w:proofErr w:type="spellEnd"/>
    </w:p>
    <w:p w14:paraId="06A4C3EE" w14:textId="5556E444" w:rsidR="0004424C" w:rsidRDefault="0004424C" w:rsidP="0004424C">
      <w:r>
        <w:t xml:space="preserve">En esta sección realizamos una revisión de los modelos lineales de dependencia espacial. La discusión sigue lo descrito por </w:t>
      </w:r>
      <w:proofErr w:type="spellStart"/>
      <w:r>
        <w:t>Elhorst</w:t>
      </w:r>
      <w:proofErr w:type="spellEnd"/>
      <w:r>
        <w:t xml:space="preserve">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w:t>
      </w:r>
      <w:proofErr w:type="spellStart"/>
      <w:r w:rsidR="006D626F">
        <w:t>Lesage</w:t>
      </w:r>
      <w:proofErr w:type="spellEnd"/>
      <w:r w:rsidR="006D626F">
        <w:t xml:space="preserv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lastRenderedPageBreak/>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w:t>
      </w:r>
      <w:proofErr w:type="spellStart"/>
      <w:r w:rsidR="00C72315">
        <w:t>Manski</w:t>
      </w:r>
      <w:proofErr w:type="spellEnd"/>
      <w:r w:rsidR="00C72315">
        <w:t xml:space="preserve">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w:t>
      </w:r>
      <w:proofErr w:type="spellStart"/>
      <w:r>
        <w:t>atriz</w:t>
      </w:r>
      <w:proofErr w:type="spellEnd"/>
      <w:r>
        <w:t xml:space="preserve">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8" w:name="_Ref5724351"/>
      <w:bookmarkStart w:id="9" w:name="_Toc6348718"/>
      <w:r>
        <w:t xml:space="preserve">Modelos derivados del modelo de </w:t>
      </w:r>
      <w:proofErr w:type="spellStart"/>
      <w:r>
        <w:t>Manski</w:t>
      </w:r>
      <w:bookmarkEnd w:id="8"/>
      <w:bookmarkEnd w:id="9"/>
      <w:proofErr w:type="spellEnd"/>
    </w:p>
    <w:p w14:paraId="73F0EF7B" w14:textId="63C769C7"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p>
    <w:p w14:paraId="7819B231" w14:textId="58F3DD94" w:rsidR="007C4FE0" w:rsidRPr="00660EDE" w:rsidRDefault="007C4FE0" w:rsidP="007C4FE0">
      <w:pPr>
        <w:pStyle w:val="Descripcin"/>
        <w:keepNext/>
        <w:rPr>
          <w:i/>
          <w:color w:val="000000" w:themeColor="text1"/>
        </w:rPr>
      </w:pPr>
      <w:bookmarkStart w:id="10" w:name="_Ref6341414"/>
      <w:bookmarkStart w:id="11" w:name="_Toc6348818"/>
      <w:r w:rsidRPr="00660EDE">
        <w:rPr>
          <w:i/>
          <w:color w:val="000000" w:themeColor="text1"/>
        </w:rPr>
        <w:lastRenderedPageBreak/>
        <w:t xml:space="preserve">Gráfico </w:t>
      </w:r>
      <w:r w:rsidRPr="00660EDE">
        <w:rPr>
          <w:i/>
          <w:color w:val="000000" w:themeColor="text1"/>
        </w:rPr>
        <w:fldChar w:fldCharType="begin"/>
      </w:r>
      <w:r w:rsidRPr="00660EDE">
        <w:rPr>
          <w:i/>
          <w:color w:val="000000" w:themeColor="text1"/>
        </w:rPr>
        <w:instrText xml:space="preserve"> SEQ Gráfico \* ARABIC </w:instrText>
      </w:r>
      <w:r w:rsidRPr="00660EDE">
        <w:rPr>
          <w:i/>
          <w:color w:val="000000" w:themeColor="text1"/>
        </w:rPr>
        <w:fldChar w:fldCharType="separate"/>
      </w:r>
      <w:r w:rsidR="00560D5E">
        <w:rPr>
          <w:i/>
          <w:noProof/>
          <w:color w:val="000000" w:themeColor="text1"/>
        </w:rPr>
        <w:t>1</w:t>
      </w:r>
      <w:r w:rsidRPr="00660EDE">
        <w:rPr>
          <w:i/>
          <w:color w:val="000000" w:themeColor="text1"/>
        </w:rPr>
        <w:fldChar w:fldCharType="end"/>
      </w:r>
      <w:bookmarkEnd w:id="10"/>
      <w:r w:rsidR="00660EDE" w:rsidRPr="00660EDE">
        <w:rPr>
          <w:i/>
          <w:color w:val="000000" w:themeColor="text1"/>
        </w:rPr>
        <w:t>: Modelos de dependencia espacial para datos de corte transversal</w:t>
      </w:r>
      <w:bookmarkEnd w:id="11"/>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DF6465" w:rsidRPr="009E0813" w:rsidRDefault="00DF6465"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DF6465" w:rsidRPr="009E0813" w:rsidRDefault="00DF6465"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70C0CE37" w:rsidR="00DF6465" w:rsidRPr="009E0813" w:rsidRDefault="00DF6465"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DF6465" w:rsidRPr="009E0813" w:rsidRDefault="00DF6465"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DD96BB0" w:rsidR="00DF6465" w:rsidRPr="009E0813" w:rsidRDefault="00DF6465"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534DF8A8" w:rsidR="00DF6465" w:rsidRPr="009E0813" w:rsidRDefault="00DF6465"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DF6465" w:rsidRPr="009E0813" w:rsidRDefault="00DF6465"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DF6465" w:rsidRPr="009E0813" w:rsidRDefault="00DF6465"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DF6465" w:rsidRPr="007C4FE0" w:rsidRDefault="00DF6465"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DF6465" w:rsidRPr="007C4FE0" w:rsidRDefault="00DF6465"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DF6465" w:rsidRPr="007C4FE0" w:rsidRDefault="00DF6465"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DF6465" w:rsidRPr="007C4FE0" w:rsidRDefault="00DF6465"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DF6465" w:rsidRPr="009E0813" w:rsidRDefault="00DF6465"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DF6465" w:rsidRPr="009E0813" w:rsidRDefault="00DF6465"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70C0CE37" w:rsidR="00DF6465" w:rsidRPr="009E0813" w:rsidRDefault="00DF6465"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DF6465" w:rsidRPr="009E0813" w:rsidRDefault="00DF6465"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DD96BB0" w:rsidR="00DF6465" w:rsidRPr="009E0813" w:rsidRDefault="00DF6465"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534DF8A8" w:rsidR="00DF6465" w:rsidRPr="009E0813" w:rsidRDefault="00DF6465"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DF6465" w:rsidRPr="009E0813" w:rsidRDefault="00DF6465"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DF6465" w:rsidRPr="009E0813" w:rsidRDefault="00DF6465"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DF6465" w:rsidRPr="009E0813" w:rsidRDefault="00DF6465"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DF6465" w:rsidRPr="007C4FE0" w:rsidRDefault="00DF6465"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DF6465" w:rsidRPr="007C4FE0" w:rsidRDefault="00DF6465"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DF6465" w:rsidRPr="007C4FE0" w:rsidRDefault="00DF6465"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DF6465" w:rsidRPr="007C4FE0" w:rsidRDefault="00DF6465"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proofErr w:type="spellStart"/>
      <w:r w:rsidR="00660EDE">
        <w:rPr>
          <w:sz w:val="18"/>
          <w:szCs w:val="18"/>
        </w:rPr>
        <w:t>Elhorst</w:t>
      </w:r>
      <w:proofErr w:type="spellEnd"/>
      <w:r w:rsidR="00660EDE">
        <w:rPr>
          <w:sz w:val="18"/>
          <w:szCs w:val="18"/>
        </w:rPr>
        <w:t xml:space="preserve">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proofErr w:type="spellStart"/>
      <w:r>
        <w:t>Manski</w:t>
      </w:r>
      <w:proofErr w:type="spellEnd"/>
      <w:r>
        <w:t xml:space="preserve"> (1993) mostró que al menos uno de los K + </w:t>
      </w:r>
      <w:proofErr w:type="gramStart"/>
      <w:r>
        <w:t>2 parámetros relacionados a variables espaciales debe</w:t>
      </w:r>
      <w:proofErr w:type="gramEnd"/>
      <w:r>
        <w:t xml:space="preserv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w:t>
      </w:r>
      <w:proofErr w:type="spellStart"/>
      <w:r w:rsidR="00944BE0">
        <w:t>Elhorst</w:t>
      </w:r>
      <w:proofErr w:type="spellEnd"/>
      <w:r w:rsidR="00944BE0">
        <w:t xml:space="preserve">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w:t>
      </w:r>
      <w:proofErr w:type="spellStart"/>
      <w:r w:rsidR="00DA58E5">
        <w:t>LeSage</w:t>
      </w:r>
      <w:proofErr w:type="spellEnd"/>
      <w:r w:rsidR="00DA58E5">
        <w:t xml:space="preserv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pPr>
      <w:r>
        <w:lastRenderedPageBreak/>
        <w:t xml:space="preserve"> </w:t>
      </w:r>
      <w:r w:rsidR="002031DD">
        <w:t>Interpretación de parámetros en presencia de rezago espacial</w:t>
      </w:r>
    </w:p>
    <w:p w14:paraId="43EB3933" w14:textId="19417915" w:rsidR="00EC3D8A" w:rsidRDefault="002031DD" w:rsidP="00EC3D8A">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p>
    <w:p w14:paraId="1C023D61" w14:textId="373B6261" w:rsidR="00EC3D8A" w:rsidRPr="00EE6038" w:rsidRDefault="00EC3D8A" w:rsidP="00EC3D8A">
      <m:oMathPara>
        <m:oMath>
          <m:r>
            <m:rPr>
              <m:sty m:val="bi"/>
            </m:rPr>
            <w:rPr>
              <w:rFonts w:ascii="Cambria Math" w:hAnsi="Cambria Math"/>
            </w:rPr>
            <m:t>Y</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hAnsi="Cambria Math"/>
                    </w:rPr>
                    <m:t>-ρW</m:t>
                  </m:r>
                </m:e>
              </m:d>
            </m:e>
            <m:sup>
              <m:r>
                <w:rPr>
                  <w:rFonts w:ascii="Cambria Math" w:hAnsi="Cambria Math"/>
                </w:rPr>
                <m:t>-1</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r>
            <m:rPr>
              <m:sty m:val="bi"/>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r</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m:t xml:space="preserve"> </m:t>
          </m:r>
        </m:oMath>
      </m:oMathPara>
    </w:p>
    <w:p w14:paraId="7C39EF4A" w14:textId="2BCD961E" w:rsidR="00EE6038" w:rsidRDefault="00EE6038" w:rsidP="00EC3D8A">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l:space="preserve">, </m:t>
        </m:r>
        <m:r>
          <w:rPr>
            <w:rFonts w:ascii="Cambria Math" w:hAnsi="Cambria Math"/>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m:t>
                      </m:r>
                      <m:r>
                        <w:rPr>
                          <w:rFonts w:ascii="Cambria Math" w:hAnsi="Cambria Math"/>
                        </w:rPr>
                        <m:t>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m:t>
                      </m:r>
                      <m:r>
                        <w:rPr>
                          <w:rFonts w:ascii="Cambria Math" w:hAnsi="Cambria Math"/>
                        </w:rPr>
                        <m:t>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m:t>
                      </m:r>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p>
    <w:p w14:paraId="144464C2" w14:textId="5E352971" w:rsidR="00D23401" w:rsidRDefault="00D23401" w:rsidP="00EC3D8A">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p>
    <w:p w14:paraId="3883BF6C" w14:textId="312C7FE8" w:rsidR="0097621E" w:rsidRDefault="0097621E" w:rsidP="0097621E">
      <w:pPr>
        <w:rPr>
          <w:lang w:val="es-ES"/>
        </w:rPr>
      </w:pPr>
      <w:r>
        <w:rPr>
          <w:lang w:val="es-ES"/>
        </w:rPr>
        <w:t xml:space="preserve">Como se ha visto, la introducción del rezago espacial en el modelo SAR complica la interpretación directa de los parámetros estimados. Por este motivo, </w:t>
      </w:r>
      <w:proofErr w:type="spellStart"/>
      <w:r>
        <w:rPr>
          <w:lang w:val="es-ES"/>
        </w:rPr>
        <w:t>Lesage</w:t>
      </w:r>
      <w:proofErr w:type="spellEnd"/>
      <w:r>
        <w:rPr>
          <w:lang w:val="es-ES"/>
        </w:rPr>
        <w:t xml:space="preserv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 r-</w:t>
      </w:r>
      <w:proofErr w:type="spellStart"/>
      <w:r>
        <w:rPr>
          <w:lang w:val="es-ES"/>
        </w:rPr>
        <w:t>ésima</w:t>
      </w:r>
      <w:proofErr w:type="spellEnd"/>
      <w:r>
        <w:rPr>
          <w:lang w:val="es-ES"/>
        </w:rPr>
        <w:t xml:space="preserve"> variable independiente, un efecto total que refleja el cambio promedio en la variable dependiente si una variable independiente cambia en la misma magnitud  para todas las observaciones, y el efecto </w:t>
      </w:r>
      <w:r>
        <w:rPr>
          <w:lang w:val="es-ES"/>
        </w:rPr>
        <w:lastRenderedPageBreak/>
        <w:t xml:space="preserve">indirecto o </w:t>
      </w:r>
      <w:proofErr w:type="spellStart"/>
      <w:r>
        <w:rPr>
          <w:i/>
          <w:lang w:val="es-ES"/>
        </w:rPr>
        <w:t>spill-over</w:t>
      </w:r>
      <w:proofErr w:type="spellEnd"/>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p>
    <w:p w14:paraId="39C24FC2" w14:textId="77777777" w:rsidR="00AF3BCF" w:rsidRPr="00AF3BCF" w:rsidRDefault="00AF3BCF" w:rsidP="00AF3BCF">
      <w:pPr>
        <w:pStyle w:val="Prrafodelista"/>
        <w:numPr>
          <w:ilvl w:val="0"/>
          <w:numId w:val="26"/>
        </w:numPr>
        <w:rPr>
          <w:lang w:val="es-ES"/>
        </w:rPr>
      </w:pPr>
      <w:r>
        <w:rPr>
          <w:lang w:val="es-ES"/>
        </w:rPr>
        <w:t>Efecto directo:</w:t>
      </w:r>
      <w:r w:rsidRPr="00AF3BCF">
        <w:t xml:space="preserve"> </w:t>
      </w:r>
      <w:r>
        <w:t xml:space="preserve">Es el </w:t>
      </w:r>
      <w:r>
        <w:t>promedio</w:t>
      </w:r>
      <w:r>
        <w:t xml:space="preserve">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t>es decir</w:t>
      </w:r>
      <w: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p>
    <w:p w14:paraId="78508FD2" w14:textId="6DF720D8" w:rsidR="00AF3BCF" w:rsidRPr="00B6446A" w:rsidRDefault="00AF3BCF" w:rsidP="00AF3BCF">
      <w:pPr>
        <w:pStyle w:val="Prrafodelista"/>
        <w:numPr>
          <w:ilvl w:val="0"/>
          <w:numId w:val="26"/>
        </w:numPr>
        <w:rPr>
          <w:lang w:val="es-ES"/>
        </w:rPr>
      </w:pPr>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p>
    <w:p w14:paraId="0692D83D" w14:textId="36F85B95" w:rsidR="00944BE0" w:rsidRDefault="00944BE0" w:rsidP="002C12C7">
      <w:pPr>
        <w:pStyle w:val="Ttulo2"/>
      </w:pPr>
      <w:bookmarkStart w:id="12" w:name="_Toc6348719"/>
      <w:r>
        <w:t>Selección de la matriz de pesos espaciales</w:t>
      </w:r>
      <w:bookmarkEnd w:id="12"/>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w:t>
      </w:r>
      <w:proofErr w:type="spellStart"/>
      <w:r>
        <w:t>inir</w:t>
      </w:r>
      <w:proofErr w:type="spellEnd"/>
      <w:r>
        <w:t xml:space="preserve">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1C9A711D" w:rsidR="00F7414C" w:rsidRPr="003D7632" w:rsidRDefault="00F7414C" w:rsidP="004C1D64">
      <w:pPr>
        <w:pStyle w:val="Descripcin"/>
        <w:keepNext/>
      </w:pPr>
      <w:bookmarkStart w:id="13" w:name="_Ref5740583"/>
      <w:bookmarkStart w:id="14" w:name="_Ref5740577"/>
      <w:bookmarkStart w:id="15" w:name="_Toc6348819"/>
      <w:r w:rsidRPr="003D7632">
        <w:lastRenderedPageBreak/>
        <w:t xml:space="preserve">Gráfico </w:t>
      </w:r>
      <w:r w:rsidRPr="003D7632">
        <w:fldChar w:fldCharType="begin"/>
      </w:r>
      <w:r w:rsidRPr="003D7632">
        <w:instrText xml:space="preserve"> SEQ Gráfico \* ARABIC </w:instrText>
      </w:r>
      <w:r w:rsidRPr="003D7632">
        <w:fldChar w:fldCharType="separate"/>
      </w:r>
      <w:r w:rsidR="00560D5E">
        <w:rPr>
          <w:noProof/>
        </w:rPr>
        <w:t>2</w:t>
      </w:r>
      <w:r w:rsidRPr="003D7632">
        <w:fldChar w:fldCharType="end"/>
      </w:r>
      <w:bookmarkEnd w:id="13"/>
      <w:r w:rsidRPr="003D7632">
        <w:t xml:space="preserve">. </w:t>
      </w:r>
      <w:bookmarkStart w:id="16" w:name="_Ref5740572"/>
      <w:r w:rsidR="003D7632" w:rsidRPr="003D7632">
        <w:t xml:space="preserve">Construcción de polígonos de Thiessen alrededor </w:t>
      </w:r>
      <w:r w:rsidR="003D7632" w:rsidRPr="00F52BE8">
        <w:t>de</w:t>
      </w:r>
      <w:r w:rsidR="003D7632" w:rsidRPr="003D7632">
        <w:t xml:space="preserve"> 20 observaciones</w:t>
      </w:r>
      <w:bookmarkEnd w:id="14"/>
      <w:bookmarkEnd w:id="15"/>
      <w:bookmarkEnd w:id="16"/>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Default="003D7632" w:rsidP="001046CB">
      <w:pPr>
        <w:pStyle w:val="Fuente"/>
      </w:pPr>
      <w:r w:rsidRPr="003D7632">
        <w:t>Fuente: Elaboración propia, 2019</w:t>
      </w:r>
    </w:p>
    <w:p w14:paraId="35BC891E" w14:textId="1299BC47" w:rsidR="00B6446A" w:rsidRPr="001046CB" w:rsidRDefault="001046CB" w:rsidP="001046CB">
      <w:r>
        <w:t>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w:t>
      </w:r>
      <w:proofErr w:type="spellStart"/>
      <w:r>
        <w:t>ésimos</w:t>
      </w:r>
      <w:proofErr w:type="spellEnd"/>
      <w:r>
        <w:t xml:space="preserve">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w:t>
      </w:r>
      <w:proofErr w:type="spellStart"/>
      <w:r w:rsidRPr="001046CB">
        <w:rPr>
          <w:rFonts w:ascii="Times New Roman" w:hAnsi="Times New Roman"/>
        </w:rPr>
        <w:t>Elhorst</w:t>
      </w:r>
      <w:proofErr w:type="spellEnd"/>
      <w:r w:rsidRPr="001046CB">
        <w:rPr>
          <w:rFonts w:ascii="Times New Roman" w:hAnsi="Times New Roman"/>
        </w:rPr>
        <w:t>, 2010)</w:t>
      </w:r>
      <w:r>
        <w:fldChar w:fldCharType="end"/>
      </w:r>
      <w:r>
        <w:t xml:space="preserve">. Bajo la estimación por máxima verosimilitud, </w:t>
      </w:r>
      <w:proofErr w:type="spellStart"/>
      <w:r w:rsidRPr="001046CB">
        <w:t>Stakhovych</w:t>
      </w:r>
      <w:proofErr w:type="spellEnd"/>
      <w:r w:rsidRPr="001046CB">
        <w:t xml:space="preserve"> </w:t>
      </w:r>
      <w:r>
        <w:t>y</w:t>
      </w:r>
      <w:r w:rsidRPr="001046CB">
        <w:t xml:space="preserve"> </w:t>
      </w:r>
      <w:proofErr w:type="spellStart"/>
      <w:r w:rsidRPr="001046CB">
        <w:t>Bijmolt</w:t>
      </w:r>
      <w:proofErr w:type="spellEnd"/>
      <w:r w:rsidRPr="001046CB">
        <w:t xml:space="preserve">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p>
    <w:p w14:paraId="32427C3B" w14:textId="77777777" w:rsidR="005566A4" w:rsidRDefault="005566A4" w:rsidP="003D7632">
      <w:pPr>
        <w:spacing w:after="120" w:line="240" w:lineRule="auto"/>
        <w:jc w:val="left"/>
        <w:rPr>
          <w:sz w:val="18"/>
          <w:szCs w:val="18"/>
        </w:rPr>
      </w:pPr>
    </w:p>
    <w:p w14:paraId="0D9B6B45" w14:textId="0F5CE2FA" w:rsidR="00A91D92" w:rsidRDefault="00A91D92" w:rsidP="002C12C7">
      <w:pPr>
        <w:pStyle w:val="Ttulo1"/>
      </w:pPr>
      <w:bookmarkStart w:id="17" w:name="_Toc6348720"/>
      <w:r>
        <w:t>Mercado de combustibles líquidos en Lima Metropolitana</w:t>
      </w:r>
      <w:bookmarkEnd w:id="17"/>
    </w:p>
    <w:p w14:paraId="7388D270" w14:textId="4E046375"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lastRenderedPageBreak/>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r w:rsidR="0039418B">
        <w:rPr>
          <w:rFonts w:ascii="Times New Roman" w:hAnsi="Times New Roman"/>
        </w:rPr>
        <w:t xml:space="preserve">Osinergmin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w:t>
      </w:r>
      <w:proofErr w:type="spellStart"/>
      <w:r w:rsidR="0039418B">
        <w:t>Pure</w:t>
      </w:r>
      <w:proofErr w:type="spellEnd"/>
      <w:r w:rsidR="0039418B">
        <w:t xml:space="preserve"> Biofuels. La mayor parte de las importaciones provienen del Golfo de los </w:t>
      </w:r>
      <w:r w:rsidR="00E11291">
        <w:t>EE. UU</w:t>
      </w:r>
      <w:r w:rsidR="0039418B">
        <w:t xml:space="preserve"> lo que une las fluctuaciones mundiales del precio de los combustibles al mercado local.</w:t>
      </w:r>
    </w:p>
    <w:p w14:paraId="2EB206EF" w14:textId="5D67B676"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1D1FFB3D" w:rsidR="00F752E8" w:rsidRDefault="00F752E8" w:rsidP="00F752E8">
      <w:pPr>
        <w:pStyle w:val="Descripcin"/>
        <w:keepNext/>
      </w:pPr>
      <w:bookmarkStart w:id="18" w:name="_Toc6348796"/>
      <w:r>
        <w:t xml:space="preserve">Tabla </w:t>
      </w:r>
      <w:r>
        <w:fldChar w:fldCharType="begin"/>
      </w:r>
      <w:r>
        <w:instrText xml:space="preserve"> SEQ Tabla \* ARABIC </w:instrText>
      </w:r>
      <w:r>
        <w:fldChar w:fldCharType="separate"/>
      </w:r>
      <w:r w:rsidR="00560D5E">
        <w:rPr>
          <w:noProof/>
        </w:rPr>
        <w:t>1</w:t>
      </w:r>
      <w:r>
        <w:fldChar w:fldCharType="end"/>
      </w:r>
      <w:r>
        <w:t>: Número de estaciones por razón social para Perú y Lima</w:t>
      </w:r>
      <w:bookmarkEnd w:id="18"/>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77777777" w:rsidR="00F752E8" w:rsidRPr="00DB477C" w:rsidRDefault="00F752E8" w:rsidP="00F752E8">
      <w:pPr>
        <w:spacing w:before="120"/>
        <w:rPr>
          <w:sz w:val="18"/>
        </w:rPr>
      </w:pPr>
      <w:r w:rsidRPr="00DB477C">
        <w:rPr>
          <w:sz w:val="18"/>
        </w:rPr>
        <w:t>Fuente: Elaboración propia, 2019</w:t>
      </w:r>
      <w:r>
        <w:rPr>
          <w:sz w:val="18"/>
        </w:rPr>
        <w:t xml:space="preserve">. </w:t>
      </w:r>
    </w:p>
    <w:p w14:paraId="4462978F" w14:textId="2ACE9441" w:rsidR="000B0CED" w:rsidRDefault="000B0CED" w:rsidP="00AE7D0B">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w:t>
      </w:r>
      <w:r w:rsidR="00180658">
        <w:lastRenderedPageBreak/>
        <w:t xml:space="preserve">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4F772C03" w14:textId="44D16EC9" w:rsidR="00BE2AFD" w:rsidRPr="00BE2AFD" w:rsidRDefault="00BE2AFD" w:rsidP="00DB477C">
      <w:pPr>
        <w:pStyle w:val="Descripcin"/>
      </w:pPr>
      <w:bookmarkStart w:id="19" w:name="_Ref6247871"/>
      <w:bookmarkStart w:id="20" w:name="_Toc6348820"/>
      <w:r w:rsidRPr="00BE2AFD">
        <w:t xml:space="preserve">Gráfico </w:t>
      </w:r>
      <w:r w:rsidRPr="00BE2AFD">
        <w:fldChar w:fldCharType="begin"/>
      </w:r>
      <w:r w:rsidRPr="00BE2AFD">
        <w:instrText xml:space="preserve"> SEQ Gráfico \* ARABIC </w:instrText>
      </w:r>
      <w:r w:rsidRPr="00BE2AFD">
        <w:fldChar w:fldCharType="separate"/>
      </w:r>
      <w:r w:rsidR="00560D5E">
        <w:rPr>
          <w:noProof/>
        </w:rPr>
        <w:t>3</w:t>
      </w:r>
      <w:r w:rsidRPr="00BE2AFD">
        <w:fldChar w:fldCharType="end"/>
      </w:r>
      <w:bookmarkEnd w:id="19"/>
      <w:r w:rsidRPr="00BE2AFD">
        <w:t>: Precios promedio por tipo de estación para Diésel y Gasolina de 90 octanos</w:t>
      </w:r>
      <w:bookmarkEnd w:id="20"/>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60C64D1B" w:rsidR="00DB477C" w:rsidRDefault="00BE2AFD" w:rsidP="00F752E8">
      <w:pPr>
        <w:spacing w:after="120"/>
        <w:rPr>
          <w:sz w:val="18"/>
        </w:rPr>
      </w:pPr>
      <w:r w:rsidRPr="00BE2AFD">
        <w:rPr>
          <w:sz w:val="18"/>
        </w:rPr>
        <w:t>Fuente: Elaboración propia, 2019</w:t>
      </w:r>
      <w:bookmarkStart w:id="21" w:name="_Ref6249562"/>
    </w:p>
    <w:p w14:paraId="2827B403" w14:textId="0C82AE96" w:rsidR="00DB477C" w:rsidRDefault="00DB477C" w:rsidP="00F752E8">
      <w:pPr>
        <w:pStyle w:val="Descripcin"/>
        <w:keepNext/>
        <w:spacing w:before="120"/>
      </w:pPr>
      <w:bookmarkStart w:id="22" w:name="_Ref6339505"/>
      <w:bookmarkStart w:id="23" w:name="_Toc6348797"/>
      <w:r>
        <w:t xml:space="preserve">Tabla </w:t>
      </w:r>
      <w:r>
        <w:fldChar w:fldCharType="begin"/>
      </w:r>
      <w:r>
        <w:instrText xml:space="preserve"> SEQ Tabla \* ARABIC </w:instrText>
      </w:r>
      <w:r>
        <w:fldChar w:fldCharType="separate"/>
      </w:r>
      <w:r w:rsidR="00560D5E">
        <w:rPr>
          <w:noProof/>
        </w:rPr>
        <w:t>2</w:t>
      </w:r>
      <w:r>
        <w:fldChar w:fldCharType="end"/>
      </w:r>
      <w:bookmarkEnd w:id="21"/>
      <w:bookmarkEnd w:id="22"/>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bookmarkEnd w:id="23"/>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A18E1">
            <w:pPr>
              <w:keepNext/>
              <w:spacing w:after="0" w:line="240" w:lineRule="auto"/>
            </w:pPr>
            <w:r>
              <w:t>Marca | Tipo de estación</w:t>
            </w:r>
          </w:p>
        </w:tc>
        <w:tc>
          <w:tcPr>
            <w:tcW w:w="1133" w:type="dxa"/>
          </w:tcPr>
          <w:p w14:paraId="105881AC" w14:textId="122FAFA3" w:rsidR="00DB477C" w:rsidRDefault="00DB477C" w:rsidP="00DA18E1">
            <w:pPr>
              <w:keepNext/>
              <w:spacing w:after="0" w:line="240" w:lineRule="auto"/>
              <w:jc w:val="right"/>
            </w:pPr>
            <w:r>
              <w:t>Propia</w:t>
            </w:r>
          </w:p>
        </w:tc>
        <w:tc>
          <w:tcPr>
            <w:tcW w:w="1279" w:type="dxa"/>
          </w:tcPr>
          <w:p w14:paraId="2E735BC2" w14:textId="4BC5AD27" w:rsidR="00DB477C" w:rsidRDefault="00DB477C" w:rsidP="00DA18E1">
            <w:pPr>
              <w:keepNext/>
              <w:spacing w:after="0" w:line="240" w:lineRule="auto"/>
            </w:pPr>
            <w:r>
              <w:t>Abanderada</w:t>
            </w:r>
          </w:p>
        </w:tc>
        <w:tc>
          <w:tcPr>
            <w:tcW w:w="1463" w:type="dxa"/>
          </w:tcPr>
          <w:p w14:paraId="1A93E4C4" w14:textId="7E8310B9" w:rsidR="00DB477C" w:rsidRDefault="00DB477C" w:rsidP="00DA18E1">
            <w:pPr>
              <w:keepNext/>
              <w:spacing w:after="0" w:line="240" w:lineRule="auto"/>
              <w:jc w:val="right"/>
            </w:pPr>
            <w:r>
              <w:t>Independiente</w:t>
            </w:r>
          </w:p>
        </w:tc>
        <w:tc>
          <w:tcPr>
            <w:tcW w:w="1463" w:type="dxa"/>
          </w:tcPr>
          <w:p w14:paraId="00400734" w14:textId="545DBC1B" w:rsidR="00DB477C" w:rsidRPr="00DB477C" w:rsidRDefault="00DB477C" w:rsidP="00DA18E1">
            <w:pPr>
              <w:keepNext/>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A18E1">
            <w:pPr>
              <w:keepNext/>
              <w:spacing w:after="0" w:line="240" w:lineRule="auto"/>
            </w:pPr>
            <w:r>
              <w:t>Repsol</w:t>
            </w:r>
          </w:p>
        </w:tc>
        <w:tc>
          <w:tcPr>
            <w:tcW w:w="1133" w:type="dxa"/>
          </w:tcPr>
          <w:p w14:paraId="06711F27" w14:textId="3450F357" w:rsidR="00DB477C" w:rsidRDefault="00DB477C" w:rsidP="00DA18E1">
            <w:pPr>
              <w:keepNext/>
              <w:spacing w:after="0" w:line="240" w:lineRule="auto"/>
              <w:jc w:val="right"/>
            </w:pPr>
            <w:r>
              <w:t>72</w:t>
            </w:r>
          </w:p>
        </w:tc>
        <w:tc>
          <w:tcPr>
            <w:tcW w:w="1279" w:type="dxa"/>
          </w:tcPr>
          <w:p w14:paraId="3CC4D8C2" w14:textId="7B80D0C7" w:rsidR="00DB477C" w:rsidRDefault="00DB477C" w:rsidP="00DA18E1">
            <w:pPr>
              <w:keepNext/>
              <w:spacing w:after="0" w:line="240" w:lineRule="auto"/>
              <w:jc w:val="right"/>
            </w:pPr>
            <w:r>
              <w:t>52</w:t>
            </w:r>
          </w:p>
        </w:tc>
        <w:tc>
          <w:tcPr>
            <w:tcW w:w="1463" w:type="dxa"/>
          </w:tcPr>
          <w:p w14:paraId="66BC7027" w14:textId="1485E210" w:rsidR="00DB477C" w:rsidRDefault="00DB477C" w:rsidP="00DA18E1">
            <w:pPr>
              <w:keepNext/>
              <w:spacing w:after="0" w:line="240" w:lineRule="auto"/>
              <w:jc w:val="right"/>
            </w:pPr>
            <w:r>
              <w:t>-</w:t>
            </w:r>
          </w:p>
        </w:tc>
        <w:tc>
          <w:tcPr>
            <w:tcW w:w="1463" w:type="dxa"/>
          </w:tcPr>
          <w:p w14:paraId="2B9499A0" w14:textId="23F36A64" w:rsidR="00DB477C" w:rsidRDefault="00DB477C" w:rsidP="00DA18E1">
            <w:pPr>
              <w:keepNext/>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A18E1">
            <w:pPr>
              <w:keepNext/>
              <w:spacing w:after="0" w:line="240" w:lineRule="auto"/>
            </w:pPr>
            <w:r>
              <w:t>Primax</w:t>
            </w:r>
          </w:p>
        </w:tc>
        <w:tc>
          <w:tcPr>
            <w:tcW w:w="1133" w:type="dxa"/>
          </w:tcPr>
          <w:p w14:paraId="0A16F939" w14:textId="73C4EA77" w:rsidR="00DB477C" w:rsidRDefault="00DB477C" w:rsidP="00DA18E1">
            <w:pPr>
              <w:keepNext/>
              <w:spacing w:after="0" w:line="240" w:lineRule="auto"/>
              <w:jc w:val="right"/>
            </w:pPr>
            <w:r>
              <w:t>41</w:t>
            </w:r>
          </w:p>
        </w:tc>
        <w:tc>
          <w:tcPr>
            <w:tcW w:w="1279" w:type="dxa"/>
          </w:tcPr>
          <w:p w14:paraId="2E63B821" w14:textId="6A451E24" w:rsidR="00DB477C" w:rsidRDefault="00DB477C" w:rsidP="00DA18E1">
            <w:pPr>
              <w:keepNext/>
              <w:spacing w:after="0" w:line="240" w:lineRule="auto"/>
              <w:jc w:val="right"/>
            </w:pPr>
            <w:r>
              <w:t>73</w:t>
            </w:r>
          </w:p>
        </w:tc>
        <w:tc>
          <w:tcPr>
            <w:tcW w:w="1463" w:type="dxa"/>
          </w:tcPr>
          <w:p w14:paraId="429B9B36" w14:textId="175EEC0B" w:rsidR="00DB477C" w:rsidRDefault="00DB477C" w:rsidP="00DA18E1">
            <w:pPr>
              <w:keepNext/>
              <w:spacing w:after="0" w:line="240" w:lineRule="auto"/>
              <w:jc w:val="right"/>
            </w:pPr>
            <w:r>
              <w:t>-</w:t>
            </w:r>
          </w:p>
        </w:tc>
        <w:tc>
          <w:tcPr>
            <w:tcW w:w="1463" w:type="dxa"/>
          </w:tcPr>
          <w:p w14:paraId="0282BD89" w14:textId="79308F22" w:rsidR="00DB477C" w:rsidRDefault="00DB477C" w:rsidP="00DA18E1">
            <w:pPr>
              <w:keepNext/>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A18E1">
            <w:pPr>
              <w:keepNext/>
              <w:spacing w:after="0" w:line="240" w:lineRule="auto"/>
            </w:pPr>
            <w:r>
              <w:t>Pecsa</w:t>
            </w:r>
          </w:p>
        </w:tc>
        <w:tc>
          <w:tcPr>
            <w:tcW w:w="1133" w:type="dxa"/>
          </w:tcPr>
          <w:p w14:paraId="37A9076C" w14:textId="0586E27F" w:rsidR="00DB477C" w:rsidRDefault="00DB477C" w:rsidP="00DA18E1">
            <w:pPr>
              <w:keepNext/>
              <w:spacing w:after="0" w:line="240" w:lineRule="auto"/>
              <w:jc w:val="right"/>
            </w:pPr>
            <w:r>
              <w:t>28</w:t>
            </w:r>
          </w:p>
        </w:tc>
        <w:tc>
          <w:tcPr>
            <w:tcW w:w="1279" w:type="dxa"/>
          </w:tcPr>
          <w:p w14:paraId="6A8E9B57" w14:textId="2F372B75" w:rsidR="00DB477C" w:rsidRDefault="00DB477C" w:rsidP="00DA18E1">
            <w:pPr>
              <w:keepNext/>
              <w:spacing w:after="0" w:line="240" w:lineRule="auto"/>
              <w:jc w:val="right"/>
            </w:pPr>
            <w:r>
              <w:t>30</w:t>
            </w:r>
          </w:p>
        </w:tc>
        <w:tc>
          <w:tcPr>
            <w:tcW w:w="1463" w:type="dxa"/>
          </w:tcPr>
          <w:p w14:paraId="7BEA4207" w14:textId="5FB8DB5C" w:rsidR="00DB477C" w:rsidRDefault="00DB477C" w:rsidP="00DA18E1">
            <w:pPr>
              <w:keepNext/>
              <w:spacing w:after="0" w:line="240" w:lineRule="auto"/>
              <w:jc w:val="right"/>
            </w:pPr>
            <w:r>
              <w:t>-</w:t>
            </w:r>
          </w:p>
        </w:tc>
        <w:tc>
          <w:tcPr>
            <w:tcW w:w="1463" w:type="dxa"/>
          </w:tcPr>
          <w:p w14:paraId="66A9D018" w14:textId="2D0D8E9F" w:rsidR="00DB477C" w:rsidRDefault="00DB477C" w:rsidP="00DA18E1">
            <w:pPr>
              <w:keepNext/>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A18E1">
            <w:pPr>
              <w:keepNext/>
              <w:spacing w:after="0" w:line="240" w:lineRule="auto"/>
            </w:pPr>
            <w:r>
              <w:t>Petroperú</w:t>
            </w:r>
          </w:p>
        </w:tc>
        <w:tc>
          <w:tcPr>
            <w:tcW w:w="1133" w:type="dxa"/>
          </w:tcPr>
          <w:p w14:paraId="28F736E7" w14:textId="724F6170" w:rsidR="00DB477C" w:rsidRDefault="00DB477C" w:rsidP="00DA18E1">
            <w:pPr>
              <w:keepNext/>
              <w:spacing w:after="0" w:line="240" w:lineRule="auto"/>
              <w:jc w:val="right"/>
            </w:pPr>
            <w:r>
              <w:t>0</w:t>
            </w:r>
          </w:p>
        </w:tc>
        <w:tc>
          <w:tcPr>
            <w:tcW w:w="1279" w:type="dxa"/>
          </w:tcPr>
          <w:p w14:paraId="2F01F204" w14:textId="6B1F39D1" w:rsidR="00DB477C" w:rsidRDefault="00DB477C" w:rsidP="00DA18E1">
            <w:pPr>
              <w:keepNext/>
              <w:spacing w:after="0" w:line="240" w:lineRule="auto"/>
              <w:jc w:val="right"/>
            </w:pPr>
            <w:r>
              <w:t>42</w:t>
            </w:r>
          </w:p>
        </w:tc>
        <w:tc>
          <w:tcPr>
            <w:tcW w:w="1463" w:type="dxa"/>
          </w:tcPr>
          <w:p w14:paraId="78AE62D5" w14:textId="0062C21C" w:rsidR="00DB477C" w:rsidRDefault="00DB477C" w:rsidP="00DA18E1">
            <w:pPr>
              <w:keepNext/>
              <w:spacing w:after="0" w:line="240" w:lineRule="auto"/>
              <w:jc w:val="right"/>
            </w:pPr>
            <w:r>
              <w:t>-</w:t>
            </w:r>
          </w:p>
        </w:tc>
        <w:tc>
          <w:tcPr>
            <w:tcW w:w="1463" w:type="dxa"/>
          </w:tcPr>
          <w:p w14:paraId="0C2DEB24" w14:textId="02E76460" w:rsidR="00DB477C" w:rsidRDefault="00DB477C" w:rsidP="00DA18E1">
            <w:pPr>
              <w:keepNext/>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A18E1">
            <w:pPr>
              <w:keepNext/>
              <w:spacing w:after="0" w:line="240" w:lineRule="auto"/>
            </w:pPr>
            <w:r>
              <w:t>Sin Marca</w:t>
            </w:r>
          </w:p>
        </w:tc>
        <w:tc>
          <w:tcPr>
            <w:tcW w:w="1133" w:type="dxa"/>
          </w:tcPr>
          <w:p w14:paraId="49EF1E21" w14:textId="156A3869" w:rsidR="00DB477C" w:rsidRDefault="00DB477C" w:rsidP="00DA18E1">
            <w:pPr>
              <w:keepNext/>
              <w:spacing w:after="0" w:line="240" w:lineRule="auto"/>
              <w:jc w:val="right"/>
            </w:pPr>
            <w:r>
              <w:t>-</w:t>
            </w:r>
          </w:p>
        </w:tc>
        <w:tc>
          <w:tcPr>
            <w:tcW w:w="1279" w:type="dxa"/>
          </w:tcPr>
          <w:p w14:paraId="7563A323" w14:textId="262361F0" w:rsidR="00DB477C" w:rsidRDefault="00DB477C" w:rsidP="00DA18E1">
            <w:pPr>
              <w:keepNext/>
              <w:spacing w:after="0" w:line="240" w:lineRule="auto"/>
              <w:jc w:val="right"/>
            </w:pPr>
            <w:r>
              <w:t>-</w:t>
            </w:r>
          </w:p>
        </w:tc>
        <w:tc>
          <w:tcPr>
            <w:tcW w:w="1463" w:type="dxa"/>
          </w:tcPr>
          <w:p w14:paraId="0A767D0A" w14:textId="6379A550" w:rsidR="00DB477C" w:rsidRDefault="00DB477C" w:rsidP="00DA18E1">
            <w:pPr>
              <w:keepNext/>
              <w:spacing w:after="0" w:line="240" w:lineRule="auto"/>
              <w:jc w:val="right"/>
            </w:pPr>
            <w:r>
              <w:t>99</w:t>
            </w:r>
          </w:p>
        </w:tc>
        <w:tc>
          <w:tcPr>
            <w:tcW w:w="1463" w:type="dxa"/>
          </w:tcPr>
          <w:p w14:paraId="6B92171A" w14:textId="46F60D5D" w:rsidR="00DB477C" w:rsidRDefault="00DB477C" w:rsidP="00DA18E1">
            <w:pPr>
              <w:keepNext/>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A18E1">
            <w:pPr>
              <w:keepNext/>
              <w:spacing w:after="0" w:line="240" w:lineRule="auto"/>
              <w:rPr>
                <w:b/>
              </w:rPr>
            </w:pPr>
            <w:r w:rsidRPr="00DB477C">
              <w:rPr>
                <w:b/>
              </w:rPr>
              <w:t>Total</w:t>
            </w:r>
          </w:p>
        </w:tc>
        <w:tc>
          <w:tcPr>
            <w:tcW w:w="1133" w:type="dxa"/>
          </w:tcPr>
          <w:p w14:paraId="2BE3A582" w14:textId="6F88168D" w:rsidR="00DB477C" w:rsidRDefault="00DB477C" w:rsidP="00DA18E1">
            <w:pPr>
              <w:keepNext/>
              <w:spacing w:after="0" w:line="240" w:lineRule="auto"/>
              <w:jc w:val="right"/>
            </w:pPr>
            <w:r>
              <w:t>141</w:t>
            </w:r>
          </w:p>
        </w:tc>
        <w:tc>
          <w:tcPr>
            <w:tcW w:w="1279" w:type="dxa"/>
          </w:tcPr>
          <w:p w14:paraId="5751477D" w14:textId="40E9F65C" w:rsidR="00DB477C" w:rsidRDefault="00DB477C" w:rsidP="00DA18E1">
            <w:pPr>
              <w:keepNext/>
              <w:spacing w:after="0" w:line="240" w:lineRule="auto"/>
              <w:jc w:val="right"/>
            </w:pPr>
            <w:r>
              <w:t>197</w:t>
            </w:r>
          </w:p>
        </w:tc>
        <w:tc>
          <w:tcPr>
            <w:tcW w:w="1463" w:type="dxa"/>
          </w:tcPr>
          <w:p w14:paraId="64306963" w14:textId="44F88500" w:rsidR="00DB477C" w:rsidRDefault="00DB477C" w:rsidP="00DA18E1">
            <w:pPr>
              <w:keepNext/>
              <w:spacing w:after="0" w:line="240" w:lineRule="auto"/>
              <w:jc w:val="right"/>
            </w:pPr>
            <w:r>
              <w:t>99</w:t>
            </w:r>
          </w:p>
        </w:tc>
        <w:tc>
          <w:tcPr>
            <w:tcW w:w="1463" w:type="dxa"/>
          </w:tcPr>
          <w:p w14:paraId="683B9CFC" w14:textId="77494635" w:rsidR="00DB477C" w:rsidRDefault="00DB477C" w:rsidP="00DA18E1">
            <w:pPr>
              <w:keepNext/>
              <w:spacing w:after="0" w:line="240" w:lineRule="auto"/>
              <w:jc w:val="right"/>
            </w:pPr>
            <w:r>
              <w:t>437</w:t>
            </w:r>
          </w:p>
        </w:tc>
      </w:tr>
    </w:tbl>
    <w:p w14:paraId="7FB26513" w14:textId="3222B49F" w:rsidR="00243304" w:rsidRDefault="00DB477C" w:rsidP="00F752E8">
      <w:pPr>
        <w:spacing w:after="0"/>
        <w:rPr>
          <w:sz w:val="18"/>
        </w:rPr>
      </w:pPr>
      <w:r w:rsidRPr="00DB477C">
        <w:rPr>
          <w:sz w:val="18"/>
        </w:rPr>
        <w:t>Fuente: Elaboración propia, 2019</w:t>
      </w:r>
      <w:r w:rsidR="00265C61">
        <w:rPr>
          <w:sz w:val="18"/>
        </w:rPr>
        <w:t xml:space="preserve">. </w:t>
      </w:r>
    </w:p>
    <w:p w14:paraId="78780B61" w14:textId="77777777" w:rsidR="00243304" w:rsidRDefault="00243304">
      <w:pPr>
        <w:spacing w:after="200" w:line="276" w:lineRule="auto"/>
        <w:jc w:val="left"/>
        <w:rPr>
          <w:sz w:val="18"/>
        </w:rPr>
      </w:pPr>
      <w:r>
        <w:rPr>
          <w:sz w:val="18"/>
        </w:rPr>
        <w:br w:type="page"/>
      </w:r>
    </w:p>
    <w:p w14:paraId="29D381AE" w14:textId="77777777" w:rsidR="00AE36B3" w:rsidRPr="00DB477C" w:rsidRDefault="00AE36B3" w:rsidP="00F752E8">
      <w:pPr>
        <w:spacing w:after="0"/>
        <w:rPr>
          <w:sz w:val="18"/>
        </w:rPr>
      </w:pPr>
    </w:p>
    <w:p w14:paraId="1E6EE31A" w14:textId="0CAA8FB9" w:rsidR="001D7AC0" w:rsidRDefault="001D7AC0" w:rsidP="000D15A3">
      <w:pPr>
        <w:pStyle w:val="Ttulo1"/>
      </w:pPr>
      <w:bookmarkStart w:id="24" w:name="_Toc6348721"/>
      <w:r w:rsidRPr="000D15A3">
        <w:t>Metodología</w:t>
      </w:r>
      <w:bookmarkEnd w:id="24"/>
    </w:p>
    <w:p w14:paraId="69ECB78C" w14:textId="132EA587" w:rsidR="00B55601" w:rsidRDefault="00B55601" w:rsidP="000D15A3">
      <w:pPr>
        <w:pStyle w:val="Ttulo2"/>
      </w:pPr>
      <w:bookmarkStart w:id="25" w:name="_Toc6348722"/>
      <w:r>
        <w:t>Datos utilizados</w:t>
      </w:r>
      <w:bookmarkEnd w:id="25"/>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04199067" w:rsidR="00A96CAF" w:rsidRDefault="00A96CAF" w:rsidP="00A96CAF">
      <w:pPr>
        <w:pStyle w:val="Descripcin"/>
        <w:keepNext/>
        <w:jc w:val="left"/>
      </w:pPr>
      <w:bookmarkStart w:id="26" w:name="_Toc6348821"/>
      <w:r>
        <w:t xml:space="preserve">Gráfico </w:t>
      </w:r>
      <w:r>
        <w:fldChar w:fldCharType="begin"/>
      </w:r>
      <w:r>
        <w:instrText xml:space="preserve"> SEQ Gráfico \* ARABIC </w:instrText>
      </w:r>
      <w:r>
        <w:fldChar w:fldCharType="separate"/>
      </w:r>
      <w:r w:rsidR="00560D5E">
        <w:rPr>
          <w:noProof/>
        </w:rPr>
        <w:t>4</w:t>
      </w:r>
      <w:r>
        <w:fldChar w:fldCharType="end"/>
      </w:r>
      <w:r>
        <w:t>: Distribución de estaciones en distritos de Lima Metropolitana</w:t>
      </w:r>
      <w:bookmarkEnd w:id="26"/>
    </w:p>
    <w:p w14:paraId="7C1A012C" w14:textId="32C27D25" w:rsidR="00A96CAF" w:rsidRDefault="00A96CAF" w:rsidP="00A96CAF">
      <w:pPr>
        <w:spacing w:after="120"/>
        <w:jc w:val="center"/>
      </w:pPr>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27" w:name="_Toc6348723"/>
      <w:r>
        <w:lastRenderedPageBreak/>
        <w:t>Definición de mercados</w:t>
      </w:r>
      <w:bookmarkEnd w:id="27"/>
    </w:p>
    <w:p w14:paraId="30F900A5" w14:textId="3549127A"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w:t>
      </w:r>
      <w:proofErr w:type="spellStart"/>
      <w:r w:rsidR="007E719A">
        <w:t>amente</w:t>
      </w:r>
      <w:proofErr w:type="spellEnd"/>
      <w:r w:rsidR="007E719A">
        <w:t xml:space="preserve"> con seis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7B6BDCE8" w:rsidR="002E77DD" w:rsidRPr="002E77DD" w:rsidRDefault="002E77DD" w:rsidP="002E77DD">
      <w:pPr>
        <w:pStyle w:val="Descripcin"/>
      </w:pPr>
      <w:bookmarkStart w:id="28" w:name="_Ref6265180"/>
      <w:bookmarkStart w:id="29" w:name="_Toc6348822"/>
      <w:r>
        <w:t xml:space="preserve">Gráfico </w:t>
      </w:r>
      <w:r>
        <w:fldChar w:fldCharType="begin"/>
      </w:r>
      <w:r>
        <w:instrText xml:space="preserve"> SEQ Gráfico \* ARABIC </w:instrText>
      </w:r>
      <w:r>
        <w:fldChar w:fldCharType="separate"/>
      </w:r>
      <w:r w:rsidR="00560D5E">
        <w:rPr>
          <w:noProof/>
        </w:rPr>
        <w:t>5</w:t>
      </w:r>
      <w:r>
        <w:fldChar w:fldCharType="end"/>
      </w:r>
      <w:bookmarkEnd w:id="28"/>
      <w:r>
        <w:t>: Definición de vecinos para una estación de servicios utilizando polígonos de Thiessen</w:t>
      </w:r>
      <w:bookmarkEnd w:id="29"/>
    </w:p>
    <w:p w14:paraId="7ADBFA58" w14:textId="41C7E6B0" w:rsidR="002E77DD" w:rsidRDefault="007E719A" w:rsidP="002E77DD">
      <w:pPr>
        <w:spacing w:after="120"/>
        <w:jc w:val="center"/>
      </w:pPr>
      <w:r>
        <w:rPr>
          <w:noProof/>
          <w:lang w:val="en-US"/>
        </w:rPr>
        <mc:AlternateContent>
          <mc:Choice Requires="wps">
            <w:drawing>
              <wp:anchor distT="0" distB="0" distL="114300" distR="114300" simplePos="0" relativeHeight="25169408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DF6465" w:rsidRPr="007E719A" w:rsidRDefault="00DF6465"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1B12DD36" wp14:editId="133B2046">
                <wp:simplePos x="0" y="0"/>
                <wp:positionH relativeFrom="column">
                  <wp:posOffset>2253357</wp:posOffset>
                </wp:positionH>
                <wp:positionV relativeFrom="paragraph">
                  <wp:posOffset>1612621</wp:posOffset>
                </wp:positionV>
                <wp:extent cx="1024932" cy="256233"/>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1024932" cy="256233"/>
                        </a:xfrm>
                        <a:prstGeom prst="rect">
                          <a:avLst/>
                        </a:prstGeom>
                        <a:solidFill>
                          <a:schemeClr val="bg1"/>
                        </a:solidFill>
                        <a:ln w="6350">
                          <a:solidFill>
                            <a:prstClr val="black"/>
                          </a:solidFill>
                        </a:ln>
                      </wps:spPr>
                      <wps:txbx>
                        <w:txbxContent>
                          <w:p w14:paraId="0E53287F" w14:textId="31850E06" w:rsidR="00DF6465" w:rsidRPr="002E77DD" w:rsidRDefault="00DF6465"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DF6465" w:rsidRPr="002E77DD" w:rsidRDefault="00DF6465"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DF6465" w:rsidRPr="002E77DD" w:rsidRDefault="00DF6465" w:rsidP="002E77DD">
                            <w:pPr>
                              <w:spacing w:after="0" w:line="240" w:lineRule="auto"/>
                              <w:jc w:val="left"/>
                              <w:rPr>
                                <w:rFonts w:cstheme="minorHAnsi"/>
                                <w:color w:val="000000" w:themeColor="text1"/>
                                <w:sz w:val="14"/>
                                <w:shd w:val="clear" w:color="auto" w:fill="FFFFFF"/>
                              </w:rPr>
                            </w:pPr>
                          </w:p>
                          <w:p w14:paraId="2AECCD07" w14:textId="22229AD8" w:rsidR="00DF6465" w:rsidRPr="002E77DD" w:rsidRDefault="00DF6465"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DF6465" w:rsidRPr="002E77DD" w:rsidRDefault="00DF6465">
                            <w:pPr>
                              <w:rPr>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80.7pt;height:20.2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" fillcolor="white [3212]" strokeweight=".5pt">
                <v:textbox inset="1mm,0,0,0">
                  <w:txbxContent>
                    <w:p w14:paraId="0E53287F" w14:textId="31850E06" w:rsidR="00DF6465" w:rsidRPr="002E77DD" w:rsidRDefault="00DF6465"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DF6465" w:rsidRPr="002E77DD" w:rsidRDefault="00DF6465"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DF6465" w:rsidRPr="002E77DD" w:rsidRDefault="00DF6465" w:rsidP="002E77DD">
                      <w:pPr>
                        <w:spacing w:after="0" w:line="240" w:lineRule="auto"/>
                        <w:jc w:val="left"/>
                        <w:rPr>
                          <w:rFonts w:cstheme="minorHAnsi"/>
                          <w:color w:val="000000" w:themeColor="text1"/>
                          <w:sz w:val="14"/>
                          <w:shd w:val="clear" w:color="auto" w:fill="FFFFFF"/>
                        </w:rPr>
                      </w:pPr>
                    </w:p>
                    <w:p w14:paraId="2AECCD07" w14:textId="22229AD8" w:rsidR="00DF6465" w:rsidRPr="002E77DD" w:rsidRDefault="00DF6465"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DF6465" w:rsidRPr="002E77DD" w:rsidRDefault="00DF6465">
                      <w:pPr>
                        <w:rPr>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80768"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BF999" id="Conector recto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8720"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3AC8" id="Conector recto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134A" id="Conector recto 3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7759" id="Conector recto 3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6CB73"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0528"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734A8" id="Conector recto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959" cy="3064436"/>
                    </a:xfrm>
                    <a:prstGeom prst="rect">
                      <a:avLst/>
                    </a:prstGeom>
                  </pic:spPr>
                </pic:pic>
              </a:graphicData>
            </a:graphic>
          </wp:inline>
        </w:drawing>
      </w:r>
    </w:p>
    <w:p w14:paraId="2E03E1FD" w14:textId="543EFC32" w:rsidR="002E77DD" w:rsidRPr="002E77DD" w:rsidRDefault="002E77DD" w:rsidP="002E77DD">
      <w:pPr>
        <w:jc w:val="left"/>
        <w:rPr>
          <w:sz w:val="18"/>
        </w:rPr>
      </w:pPr>
      <w:r w:rsidRPr="002E77DD">
        <w:rPr>
          <w:sz w:val="18"/>
        </w:rPr>
        <w:t>Fuente: Elaboración propia, 2019</w:t>
      </w:r>
    </w:p>
    <w:p w14:paraId="5BCF3928" w14:textId="541FEDFD" w:rsidR="00197033" w:rsidRDefault="00197033" w:rsidP="00197033">
      <w:pPr>
        <w:pStyle w:val="Ttulo2"/>
      </w:pPr>
      <w:bookmarkStart w:id="30" w:name="_Toc6348724"/>
      <w:r>
        <w:lastRenderedPageBreak/>
        <w:t>Definición de variables</w:t>
      </w:r>
      <w:bookmarkEnd w:id="30"/>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2297C71E" w:rsidR="005526A5" w:rsidRDefault="007A3BA0" w:rsidP="006507EA">
      <w:pPr>
        <w:pStyle w:val="Prrafodelista"/>
        <w:numPr>
          <w:ilvl w:val="0"/>
          <w:numId w:val="25"/>
        </w:numPr>
      </w:pPr>
      <w:r>
        <w:t>A</w:t>
      </w:r>
      <w:r w:rsidR="005526A5">
        <w:t>grupamiento espacial:</w:t>
      </w:r>
      <w:r>
        <w:t xml:space="preserve"> Es una medida del grado de competencia entre firmas rivales que existe en un mercado. </w:t>
      </w:r>
      <w:r w:rsidR="00497B45">
        <w:t>La medida fue descrita en el apar</w:t>
      </w:r>
      <w:r w:rsidR="00DA18E1">
        <w:t xml:space="preserve">tado teórico y sigue lo descrito por Pennerstorfer y </w:t>
      </w:r>
      <w:proofErr w:type="spellStart"/>
      <w:r w:rsidR="00DA18E1">
        <w:t>Weiss</w:t>
      </w:r>
      <w:proofErr w:type="spellEnd"/>
      <w:r w:rsidR="00DA18E1">
        <w:t xml:space="preserve">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r w:rsidR="00DA18E1">
        <w:t>.</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9A845B0" w:rsidR="006C037F" w:rsidRDefault="006C037F" w:rsidP="006C037F">
      <w:pPr>
        <w:pStyle w:val="Descripcin"/>
        <w:keepNext/>
      </w:pPr>
      <w:bookmarkStart w:id="31" w:name="_Toc6348798"/>
      <w:r>
        <w:lastRenderedPageBreak/>
        <w:t xml:space="preserve">Tabla </w:t>
      </w:r>
      <w:r>
        <w:fldChar w:fldCharType="begin"/>
      </w:r>
      <w:r>
        <w:instrText xml:space="preserve"> SEQ Tabla \* ARABIC </w:instrText>
      </w:r>
      <w:r>
        <w:fldChar w:fldCharType="separate"/>
      </w:r>
      <w:r w:rsidR="00560D5E">
        <w:rPr>
          <w:noProof/>
        </w:rPr>
        <w:t>3</w:t>
      </w:r>
      <w:r>
        <w:fldChar w:fldCharType="end"/>
      </w:r>
      <w:r>
        <w:t>: Estadística descriptiva</w:t>
      </w:r>
      <w:bookmarkEnd w:id="31"/>
    </w:p>
    <w:tbl>
      <w:tblPr>
        <w:tblStyle w:val="Cuadrculadetablaclara"/>
        <w:tblW w:w="8647" w:type="dxa"/>
        <w:tblLook w:val="04A0" w:firstRow="1" w:lastRow="0" w:firstColumn="1" w:lastColumn="0" w:noHBand="0" w:noVBand="1"/>
      </w:tblPr>
      <w:tblGrid>
        <w:gridCol w:w="2304"/>
        <w:gridCol w:w="3064"/>
        <w:gridCol w:w="976"/>
        <w:gridCol w:w="791"/>
        <w:gridCol w:w="711"/>
        <w:gridCol w:w="801"/>
      </w:tblGrid>
      <w:tr w:rsidR="006C037F" w:rsidRPr="006C037F" w14:paraId="5A756202" w14:textId="77777777" w:rsidTr="006C037F">
        <w:tc>
          <w:tcPr>
            <w:tcW w:w="0" w:type="auto"/>
            <w:hideMark/>
          </w:tcPr>
          <w:p w14:paraId="6684901D"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Variable</w:t>
            </w:r>
          </w:p>
        </w:tc>
        <w:tc>
          <w:tcPr>
            <w:tcW w:w="3064" w:type="dxa"/>
            <w:hideMark/>
          </w:tcPr>
          <w:p w14:paraId="069983E0"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Descripción</w:t>
            </w:r>
          </w:p>
        </w:tc>
        <w:tc>
          <w:tcPr>
            <w:tcW w:w="976" w:type="dxa"/>
            <w:hideMark/>
          </w:tcPr>
          <w:p w14:paraId="4A64EBF6"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Media</w:t>
            </w:r>
          </w:p>
        </w:tc>
        <w:tc>
          <w:tcPr>
            <w:tcW w:w="0" w:type="auto"/>
            <w:hideMark/>
          </w:tcPr>
          <w:p w14:paraId="1CBD1011" w14:textId="5565DC59" w:rsidR="006C037F" w:rsidRPr="006C037F" w:rsidRDefault="006C037F" w:rsidP="00DA18E1">
            <w:pPr>
              <w:keepNext/>
              <w:spacing w:after="0" w:line="240" w:lineRule="auto"/>
              <w:jc w:val="right"/>
              <w:rPr>
                <w:rFonts w:cstheme="minorHAnsi"/>
                <w:b/>
                <w:bCs/>
                <w:color w:val="333333"/>
                <w:sz w:val="18"/>
                <w:szCs w:val="18"/>
              </w:rPr>
            </w:pPr>
            <w:proofErr w:type="spellStart"/>
            <w:r w:rsidRPr="006C037F">
              <w:rPr>
                <w:rFonts w:cstheme="minorHAnsi"/>
                <w:b/>
                <w:bCs/>
                <w:color w:val="333333"/>
                <w:sz w:val="18"/>
                <w:szCs w:val="18"/>
              </w:rPr>
              <w:t>Des.Est</w:t>
            </w:r>
            <w:proofErr w:type="spellEnd"/>
          </w:p>
        </w:tc>
        <w:tc>
          <w:tcPr>
            <w:tcW w:w="0" w:type="auto"/>
            <w:hideMark/>
          </w:tcPr>
          <w:p w14:paraId="1C1E0B88"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Min</w:t>
            </w:r>
          </w:p>
        </w:tc>
        <w:tc>
          <w:tcPr>
            <w:tcW w:w="0" w:type="auto"/>
            <w:hideMark/>
          </w:tcPr>
          <w:p w14:paraId="47AD3274"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Max</w:t>
            </w:r>
          </w:p>
        </w:tc>
      </w:tr>
      <w:tr w:rsidR="006C037F" w:rsidRPr="006C037F" w14:paraId="30FD01BF" w14:textId="77777777" w:rsidTr="006C037F">
        <w:trPr>
          <w:gridAfter w:val="5"/>
          <w:wAfter w:w="6343" w:type="dxa"/>
        </w:trPr>
        <w:tc>
          <w:tcPr>
            <w:tcW w:w="0" w:type="auto"/>
            <w:hideMark/>
          </w:tcPr>
          <w:p w14:paraId="643DC6B5"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Variable dependiente</w:t>
            </w:r>
          </w:p>
        </w:tc>
      </w:tr>
      <w:tr w:rsidR="006C037F" w:rsidRPr="006C037F" w14:paraId="6FC781C6" w14:textId="77777777" w:rsidTr="006C037F">
        <w:tc>
          <w:tcPr>
            <w:tcW w:w="0" w:type="auto"/>
            <w:hideMark/>
          </w:tcPr>
          <w:p w14:paraId="7538B6C1" w14:textId="63693429" w:rsidR="006C037F" w:rsidRPr="006C037F" w:rsidRDefault="006C037F" w:rsidP="00DA18E1">
            <w:pPr>
              <w:keepNext/>
              <w:spacing w:after="0" w:line="240" w:lineRule="auto"/>
              <w:jc w:val="left"/>
              <w:rPr>
                <w:rFonts w:cstheme="minorHAnsi"/>
                <w:color w:val="333333"/>
                <w:sz w:val="18"/>
                <w:szCs w:val="18"/>
              </w:rPr>
            </w:pPr>
            <w:proofErr w:type="spellStart"/>
            <w:r>
              <w:rPr>
                <w:rFonts w:cstheme="minorHAnsi"/>
                <w:color w:val="333333"/>
                <w:sz w:val="18"/>
                <w:szCs w:val="18"/>
              </w:rPr>
              <w:t>P</w:t>
            </w:r>
            <w:r w:rsidRPr="006C037F">
              <w:rPr>
                <w:rFonts w:cstheme="minorHAnsi"/>
                <w:color w:val="333333"/>
                <w:sz w:val="18"/>
                <w:szCs w:val="18"/>
                <w:vertAlign w:val="subscript"/>
              </w:rPr>
              <w:t>it</w:t>
            </w:r>
            <w:proofErr w:type="spellEnd"/>
            <w:r w:rsidRPr="006C037F">
              <w:rPr>
                <w:rFonts w:cstheme="minorHAnsi"/>
                <w:color w:val="333333"/>
                <w:sz w:val="18"/>
                <w:szCs w:val="18"/>
                <w:vertAlign w:val="subscript"/>
              </w:rPr>
              <w:t xml:space="preserve"> DB5</w:t>
            </w:r>
          </w:p>
        </w:tc>
        <w:tc>
          <w:tcPr>
            <w:tcW w:w="3064" w:type="dxa"/>
            <w:hideMark/>
          </w:tcPr>
          <w:p w14:paraId="1BC7F7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Diésel DB5-S50 en la estación i (soles/galón)</w:t>
            </w:r>
          </w:p>
        </w:tc>
        <w:tc>
          <w:tcPr>
            <w:tcW w:w="976" w:type="dxa"/>
            <w:hideMark/>
          </w:tcPr>
          <w:p w14:paraId="615DD87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11.310</w:t>
            </w:r>
          </w:p>
        </w:tc>
        <w:tc>
          <w:tcPr>
            <w:tcW w:w="0" w:type="auto"/>
            <w:hideMark/>
          </w:tcPr>
          <w:p w14:paraId="6846E54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1.020</w:t>
            </w:r>
          </w:p>
        </w:tc>
        <w:tc>
          <w:tcPr>
            <w:tcW w:w="0" w:type="auto"/>
            <w:hideMark/>
          </w:tcPr>
          <w:p w14:paraId="02D806D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8.5</w:t>
            </w:r>
          </w:p>
        </w:tc>
        <w:tc>
          <w:tcPr>
            <w:tcW w:w="0" w:type="auto"/>
            <w:hideMark/>
          </w:tcPr>
          <w:p w14:paraId="348BBC6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14.3</w:t>
            </w:r>
          </w:p>
        </w:tc>
      </w:tr>
      <w:tr w:rsidR="006C037F" w:rsidRPr="006C037F" w14:paraId="64024607" w14:textId="77777777" w:rsidTr="006C037F">
        <w:tc>
          <w:tcPr>
            <w:tcW w:w="0" w:type="auto"/>
            <w:hideMark/>
          </w:tcPr>
          <w:p w14:paraId="53CA8F46" w14:textId="73891167" w:rsidR="006C037F" w:rsidRPr="006C037F" w:rsidRDefault="006C037F" w:rsidP="00DA18E1">
            <w:pPr>
              <w:keepNext/>
              <w:spacing w:after="0" w:line="240" w:lineRule="auto"/>
              <w:jc w:val="left"/>
              <w:rPr>
                <w:rFonts w:cstheme="minorHAnsi"/>
                <w:color w:val="333333"/>
                <w:sz w:val="18"/>
                <w:szCs w:val="18"/>
              </w:rPr>
            </w:pPr>
            <w:proofErr w:type="spellStart"/>
            <w:r>
              <w:rPr>
                <w:rFonts w:cstheme="minorHAnsi"/>
                <w:color w:val="333333"/>
                <w:sz w:val="18"/>
                <w:szCs w:val="18"/>
              </w:rPr>
              <w:t>P</w:t>
            </w:r>
            <w:r w:rsidRPr="006C037F">
              <w:rPr>
                <w:rFonts w:cstheme="minorHAnsi"/>
                <w:color w:val="333333"/>
                <w:sz w:val="18"/>
                <w:szCs w:val="18"/>
                <w:vertAlign w:val="subscript"/>
              </w:rPr>
              <w:t>it</w:t>
            </w:r>
            <w:proofErr w:type="spellEnd"/>
            <w:r w:rsidRPr="006C037F">
              <w:rPr>
                <w:rFonts w:cstheme="minorHAnsi"/>
                <w:color w:val="333333"/>
                <w:sz w:val="18"/>
                <w:szCs w:val="18"/>
                <w:vertAlign w:val="subscript"/>
              </w:rPr>
              <w:t xml:space="preserve"> G90</w:t>
            </w:r>
          </w:p>
        </w:tc>
        <w:tc>
          <w:tcPr>
            <w:tcW w:w="3064" w:type="dxa"/>
            <w:hideMark/>
          </w:tcPr>
          <w:p w14:paraId="1CE7647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Gasohol 90 en la estación i (soles/galón)</w:t>
            </w:r>
          </w:p>
        </w:tc>
        <w:tc>
          <w:tcPr>
            <w:tcW w:w="976" w:type="dxa"/>
            <w:hideMark/>
          </w:tcPr>
          <w:p w14:paraId="74071D7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11.579</w:t>
            </w:r>
          </w:p>
        </w:tc>
        <w:tc>
          <w:tcPr>
            <w:tcW w:w="0" w:type="auto"/>
            <w:hideMark/>
          </w:tcPr>
          <w:p w14:paraId="500293C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0.881</w:t>
            </w:r>
          </w:p>
        </w:tc>
        <w:tc>
          <w:tcPr>
            <w:tcW w:w="0" w:type="auto"/>
            <w:hideMark/>
          </w:tcPr>
          <w:p w14:paraId="0DEC3DF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9.0</w:t>
            </w:r>
          </w:p>
        </w:tc>
        <w:tc>
          <w:tcPr>
            <w:tcW w:w="0" w:type="auto"/>
            <w:hideMark/>
          </w:tcPr>
          <w:p w14:paraId="3B13070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w:t>
            </w:r>
          </w:p>
        </w:tc>
      </w:tr>
      <w:tr w:rsidR="006C037F" w:rsidRPr="006C037F" w14:paraId="6E63D285" w14:textId="77777777" w:rsidTr="006C037F">
        <w:trPr>
          <w:gridAfter w:val="5"/>
          <w:wAfter w:w="6343" w:type="dxa"/>
        </w:trPr>
        <w:tc>
          <w:tcPr>
            <w:tcW w:w="0" w:type="auto"/>
            <w:hideMark/>
          </w:tcPr>
          <w:p w14:paraId="46455F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espaciales</w:t>
            </w:r>
          </w:p>
        </w:tc>
      </w:tr>
      <w:tr w:rsidR="006C037F" w:rsidRPr="006C037F" w14:paraId="3054348E" w14:textId="77777777" w:rsidTr="006C037F">
        <w:tc>
          <w:tcPr>
            <w:tcW w:w="0" w:type="auto"/>
            <w:hideMark/>
          </w:tcPr>
          <w:p w14:paraId="069021F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SC</w:t>
            </w:r>
          </w:p>
        </w:tc>
        <w:tc>
          <w:tcPr>
            <w:tcW w:w="3064" w:type="dxa"/>
            <w:hideMark/>
          </w:tcPr>
          <w:p w14:paraId="6273DF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Agrupamiento espacial</w:t>
            </w:r>
          </w:p>
        </w:tc>
        <w:tc>
          <w:tcPr>
            <w:tcW w:w="976" w:type="dxa"/>
            <w:hideMark/>
          </w:tcPr>
          <w:p w14:paraId="12415CF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0.230</w:t>
            </w:r>
          </w:p>
        </w:tc>
        <w:tc>
          <w:tcPr>
            <w:tcW w:w="0" w:type="auto"/>
            <w:hideMark/>
          </w:tcPr>
          <w:p w14:paraId="7097C4F2"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0.151</w:t>
            </w:r>
          </w:p>
        </w:tc>
        <w:tc>
          <w:tcPr>
            <w:tcW w:w="0" w:type="auto"/>
            <w:hideMark/>
          </w:tcPr>
          <w:p w14:paraId="096B5C9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w:t>
            </w:r>
          </w:p>
        </w:tc>
        <w:tc>
          <w:tcPr>
            <w:tcW w:w="0" w:type="auto"/>
            <w:hideMark/>
          </w:tcPr>
          <w:p w14:paraId="76CCF80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w:t>
            </w:r>
          </w:p>
        </w:tc>
      </w:tr>
      <w:tr w:rsidR="006C037F" w:rsidRPr="006C037F" w14:paraId="160F795D" w14:textId="77777777" w:rsidTr="006C037F">
        <w:tc>
          <w:tcPr>
            <w:tcW w:w="0" w:type="auto"/>
            <w:hideMark/>
          </w:tcPr>
          <w:p w14:paraId="297109EC"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DMIN</w:t>
            </w:r>
          </w:p>
        </w:tc>
        <w:tc>
          <w:tcPr>
            <w:tcW w:w="3064" w:type="dxa"/>
            <w:hideMark/>
          </w:tcPr>
          <w:p w14:paraId="7096708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mínima (km)</w:t>
            </w:r>
          </w:p>
        </w:tc>
        <w:tc>
          <w:tcPr>
            <w:tcW w:w="976" w:type="dxa"/>
            <w:hideMark/>
          </w:tcPr>
          <w:p w14:paraId="566719E5"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0.405</w:t>
            </w:r>
          </w:p>
        </w:tc>
        <w:tc>
          <w:tcPr>
            <w:tcW w:w="0" w:type="auto"/>
            <w:hideMark/>
          </w:tcPr>
          <w:p w14:paraId="4C594AF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0.440</w:t>
            </w:r>
          </w:p>
        </w:tc>
        <w:tc>
          <w:tcPr>
            <w:tcW w:w="0" w:type="auto"/>
            <w:hideMark/>
          </w:tcPr>
          <w:p w14:paraId="189DF1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E4E1F3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5.8</w:t>
            </w:r>
          </w:p>
        </w:tc>
      </w:tr>
      <w:tr w:rsidR="006C037F" w:rsidRPr="006C037F" w14:paraId="7684B999" w14:textId="77777777" w:rsidTr="006C037F">
        <w:tc>
          <w:tcPr>
            <w:tcW w:w="0" w:type="auto"/>
            <w:hideMark/>
          </w:tcPr>
          <w:p w14:paraId="6AAFA14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DPROM</w:t>
            </w:r>
          </w:p>
        </w:tc>
        <w:tc>
          <w:tcPr>
            <w:tcW w:w="3064" w:type="dxa"/>
            <w:hideMark/>
          </w:tcPr>
          <w:p w14:paraId="6ECA047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promedio a grifos vecinos (km)</w:t>
            </w:r>
          </w:p>
        </w:tc>
        <w:tc>
          <w:tcPr>
            <w:tcW w:w="976" w:type="dxa"/>
            <w:hideMark/>
          </w:tcPr>
          <w:p w14:paraId="571B335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0.957</w:t>
            </w:r>
          </w:p>
        </w:tc>
        <w:tc>
          <w:tcPr>
            <w:tcW w:w="0" w:type="auto"/>
            <w:hideMark/>
          </w:tcPr>
          <w:p w14:paraId="498E255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0.173</w:t>
            </w:r>
          </w:p>
        </w:tc>
        <w:tc>
          <w:tcPr>
            <w:tcW w:w="0" w:type="auto"/>
            <w:hideMark/>
          </w:tcPr>
          <w:p w14:paraId="6D3A668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w:t>
            </w:r>
          </w:p>
        </w:tc>
        <w:tc>
          <w:tcPr>
            <w:tcW w:w="0" w:type="auto"/>
            <w:hideMark/>
          </w:tcPr>
          <w:p w14:paraId="747CE5B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w:t>
            </w:r>
          </w:p>
        </w:tc>
      </w:tr>
      <w:tr w:rsidR="006C037F" w:rsidRPr="006C037F" w14:paraId="586C60C9" w14:textId="77777777" w:rsidTr="006C037F">
        <w:tc>
          <w:tcPr>
            <w:tcW w:w="0" w:type="auto"/>
            <w:hideMark/>
          </w:tcPr>
          <w:p w14:paraId="5CD11DF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NCERC</w:t>
            </w:r>
          </w:p>
        </w:tc>
        <w:tc>
          <w:tcPr>
            <w:tcW w:w="3064" w:type="dxa"/>
            <w:hideMark/>
          </w:tcPr>
          <w:p w14:paraId="5D78530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Número de grifos cercanos</w:t>
            </w:r>
          </w:p>
        </w:tc>
        <w:tc>
          <w:tcPr>
            <w:tcW w:w="976" w:type="dxa"/>
            <w:hideMark/>
          </w:tcPr>
          <w:p w14:paraId="6C16A88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10.796</w:t>
            </w:r>
          </w:p>
        </w:tc>
        <w:tc>
          <w:tcPr>
            <w:tcW w:w="0" w:type="auto"/>
            <w:hideMark/>
          </w:tcPr>
          <w:p w14:paraId="3C4D4E7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6.861</w:t>
            </w:r>
          </w:p>
        </w:tc>
        <w:tc>
          <w:tcPr>
            <w:tcW w:w="0" w:type="auto"/>
            <w:hideMark/>
          </w:tcPr>
          <w:p w14:paraId="7CC70C7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B35C25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30.0</w:t>
            </w:r>
          </w:p>
        </w:tc>
      </w:tr>
      <w:tr w:rsidR="006C037F" w:rsidRPr="006C037F" w14:paraId="6C462DEF" w14:textId="77777777" w:rsidTr="006C037F">
        <w:trPr>
          <w:gridAfter w:val="5"/>
          <w:wAfter w:w="6343" w:type="dxa"/>
        </w:trPr>
        <w:tc>
          <w:tcPr>
            <w:tcW w:w="0" w:type="auto"/>
            <w:hideMark/>
          </w:tcPr>
          <w:p w14:paraId="50C9E4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 la estación</w:t>
            </w:r>
          </w:p>
        </w:tc>
      </w:tr>
      <w:tr w:rsidR="006C037F" w:rsidRPr="006C037F" w14:paraId="675AEC81" w14:textId="77777777" w:rsidTr="006C037F">
        <w:tc>
          <w:tcPr>
            <w:tcW w:w="0" w:type="auto"/>
            <w:hideMark/>
          </w:tcPr>
          <w:p w14:paraId="317A008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GLP</w:t>
            </w:r>
          </w:p>
        </w:tc>
        <w:tc>
          <w:tcPr>
            <w:tcW w:w="3064" w:type="dxa"/>
            <w:hideMark/>
          </w:tcPr>
          <w:p w14:paraId="307296EE"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despacho de GLP</w:t>
            </w:r>
          </w:p>
        </w:tc>
        <w:tc>
          <w:tcPr>
            <w:tcW w:w="976" w:type="dxa"/>
            <w:hideMark/>
          </w:tcPr>
          <w:p w14:paraId="3714ED2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0.449</w:t>
            </w:r>
          </w:p>
        </w:tc>
        <w:tc>
          <w:tcPr>
            <w:tcW w:w="0" w:type="auto"/>
            <w:hideMark/>
          </w:tcPr>
          <w:p w14:paraId="38DB7A1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0.498</w:t>
            </w:r>
          </w:p>
        </w:tc>
        <w:tc>
          <w:tcPr>
            <w:tcW w:w="0" w:type="auto"/>
            <w:hideMark/>
          </w:tcPr>
          <w:p w14:paraId="56E88F2A" w14:textId="41F535F5"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32C915ED" w14:textId="0CFA417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002FC03" w14:textId="77777777" w:rsidTr="006C037F">
        <w:tc>
          <w:tcPr>
            <w:tcW w:w="0" w:type="auto"/>
            <w:hideMark/>
          </w:tcPr>
          <w:p w14:paraId="262FEEA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GNV</w:t>
            </w:r>
          </w:p>
        </w:tc>
        <w:tc>
          <w:tcPr>
            <w:tcW w:w="3064" w:type="dxa"/>
            <w:hideMark/>
          </w:tcPr>
          <w:p w14:paraId="17E42636"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despacho de GNV</w:t>
            </w:r>
          </w:p>
        </w:tc>
        <w:tc>
          <w:tcPr>
            <w:tcW w:w="976" w:type="dxa"/>
            <w:hideMark/>
          </w:tcPr>
          <w:p w14:paraId="269AA46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0.350</w:t>
            </w:r>
          </w:p>
        </w:tc>
        <w:tc>
          <w:tcPr>
            <w:tcW w:w="0" w:type="auto"/>
            <w:hideMark/>
          </w:tcPr>
          <w:p w14:paraId="15A20BD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04ADEE36" w14:textId="527F888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F9847B0" w14:textId="62FE74B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CFEF2BA" w14:textId="77777777" w:rsidTr="006C037F">
        <w:tc>
          <w:tcPr>
            <w:tcW w:w="0" w:type="auto"/>
            <w:hideMark/>
          </w:tcPr>
          <w:p w14:paraId="7D8AC71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MECANICO</w:t>
            </w:r>
          </w:p>
        </w:tc>
        <w:tc>
          <w:tcPr>
            <w:tcW w:w="3064" w:type="dxa"/>
            <w:hideMark/>
          </w:tcPr>
          <w:p w14:paraId="5004D2E9"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asistencia mecánica</w:t>
            </w:r>
          </w:p>
        </w:tc>
        <w:tc>
          <w:tcPr>
            <w:tcW w:w="976" w:type="dxa"/>
            <w:hideMark/>
          </w:tcPr>
          <w:p w14:paraId="641C23C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0.366</w:t>
            </w:r>
          </w:p>
        </w:tc>
        <w:tc>
          <w:tcPr>
            <w:tcW w:w="0" w:type="auto"/>
            <w:hideMark/>
          </w:tcPr>
          <w:p w14:paraId="2694D7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0.482</w:t>
            </w:r>
          </w:p>
        </w:tc>
        <w:tc>
          <w:tcPr>
            <w:tcW w:w="0" w:type="auto"/>
            <w:hideMark/>
          </w:tcPr>
          <w:p w14:paraId="372EF12F" w14:textId="50E1BC14"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EE75D9C" w14:textId="2468C5EA"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4BB99560" w14:textId="77777777" w:rsidTr="006C037F">
        <w:tc>
          <w:tcPr>
            <w:tcW w:w="0" w:type="auto"/>
            <w:hideMark/>
          </w:tcPr>
          <w:p w14:paraId="4BB2A73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LAVADO</w:t>
            </w:r>
          </w:p>
        </w:tc>
        <w:tc>
          <w:tcPr>
            <w:tcW w:w="3064" w:type="dxa"/>
            <w:hideMark/>
          </w:tcPr>
          <w:p w14:paraId="1FC65E39"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servicio de lavado de autos</w:t>
            </w:r>
          </w:p>
        </w:tc>
        <w:tc>
          <w:tcPr>
            <w:tcW w:w="976" w:type="dxa"/>
            <w:hideMark/>
          </w:tcPr>
          <w:p w14:paraId="181977B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0.208</w:t>
            </w:r>
          </w:p>
        </w:tc>
        <w:tc>
          <w:tcPr>
            <w:tcW w:w="0" w:type="auto"/>
            <w:hideMark/>
          </w:tcPr>
          <w:p w14:paraId="24136E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0.407</w:t>
            </w:r>
          </w:p>
        </w:tc>
        <w:tc>
          <w:tcPr>
            <w:tcW w:w="0" w:type="auto"/>
            <w:hideMark/>
          </w:tcPr>
          <w:p w14:paraId="1895DE3E" w14:textId="329CB50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487BAD71" w14:textId="7BBB9D3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57E60319" w14:textId="77777777" w:rsidTr="006C037F">
        <w:tc>
          <w:tcPr>
            <w:tcW w:w="0" w:type="auto"/>
            <w:hideMark/>
          </w:tcPr>
          <w:p w14:paraId="29A46F1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TIENDA</w:t>
            </w:r>
          </w:p>
        </w:tc>
        <w:tc>
          <w:tcPr>
            <w:tcW w:w="3064" w:type="dxa"/>
            <w:hideMark/>
          </w:tcPr>
          <w:p w14:paraId="2446E927"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tienda o mini-</w:t>
            </w:r>
            <w:proofErr w:type="spellStart"/>
            <w:r w:rsidRPr="006C037F">
              <w:rPr>
                <w:rFonts w:cstheme="minorHAnsi"/>
                <w:color w:val="333333"/>
                <w:sz w:val="18"/>
                <w:szCs w:val="18"/>
              </w:rPr>
              <w:t>market</w:t>
            </w:r>
            <w:proofErr w:type="spellEnd"/>
          </w:p>
        </w:tc>
        <w:tc>
          <w:tcPr>
            <w:tcW w:w="976" w:type="dxa"/>
            <w:hideMark/>
          </w:tcPr>
          <w:p w14:paraId="4F6B333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0.648</w:t>
            </w:r>
          </w:p>
        </w:tc>
        <w:tc>
          <w:tcPr>
            <w:tcW w:w="0" w:type="auto"/>
            <w:hideMark/>
          </w:tcPr>
          <w:p w14:paraId="5E97B73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7D5C9FB4" w14:textId="32B006D0"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6567BDB7" w14:textId="63E695FD"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7D73093" w14:textId="77777777" w:rsidTr="006C037F">
        <w:tc>
          <w:tcPr>
            <w:tcW w:w="0" w:type="auto"/>
            <w:hideMark/>
          </w:tcPr>
          <w:p w14:paraId="2E11CC5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CAJERO</w:t>
            </w:r>
          </w:p>
        </w:tc>
        <w:tc>
          <w:tcPr>
            <w:tcW w:w="3064" w:type="dxa"/>
            <w:hideMark/>
          </w:tcPr>
          <w:p w14:paraId="7BD83163"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cajero automático</w:t>
            </w:r>
          </w:p>
        </w:tc>
        <w:tc>
          <w:tcPr>
            <w:tcW w:w="976" w:type="dxa"/>
            <w:hideMark/>
          </w:tcPr>
          <w:p w14:paraId="2FEBADB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0.389</w:t>
            </w:r>
          </w:p>
        </w:tc>
        <w:tc>
          <w:tcPr>
            <w:tcW w:w="0" w:type="auto"/>
            <w:hideMark/>
          </w:tcPr>
          <w:p w14:paraId="7F74C80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0.488</w:t>
            </w:r>
          </w:p>
        </w:tc>
        <w:tc>
          <w:tcPr>
            <w:tcW w:w="0" w:type="auto"/>
            <w:hideMark/>
          </w:tcPr>
          <w:p w14:paraId="3E2BBB38" w14:textId="573F3716"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2EBA302E" w14:textId="4207532E"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8C65DA1" w14:textId="77777777" w:rsidTr="006C037F">
        <w:trPr>
          <w:gridAfter w:val="5"/>
          <w:wAfter w:w="6343" w:type="dxa"/>
        </w:trPr>
        <w:tc>
          <w:tcPr>
            <w:tcW w:w="0" w:type="auto"/>
            <w:hideMark/>
          </w:tcPr>
          <w:p w14:paraId="556F4567"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del distrito</w:t>
            </w:r>
          </w:p>
        </w:tc>
      </w:tr>
      <w:tr w:rsidR="006C037F" w:rsidRPr="006C037F" w14:paraId="4CD4383B" w14:textId="77777777" w:rsidTr="006C037F">
        <w:tc>
          <w:tcPr>
            <w:tcW w:w="0" w:type="auto"/>
            <w:hideMark/>
          </w:tcPr>
          <w:p w14:paraId="5D02C1D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DENPOB</w:t>
            </w:r>
          </w:p>
        </w:tc>
        <w:tc>
          <w:tcPr>
            <w:tcW w:w="3064" w:type="dxa"/>
            <w:hideMark/>
          </w:tcPr>
          <w:p w14:paraId="4DD2C1C6"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Densidad poblacional (habitantes por km2)</w:t>
            </w:r>
          </w:p>
        </w:tc>
        <w:tc>
          <w:tcPr>
            <w:tcW w:w="976" w:type="dxa"/>
            <w:hideMark/>
          </w:tcPr>
          <w:p w14:paraId="2960A804" w14:textId="75F560B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14493.2</w:t>
            </w:r>
          </w:p>
        </w:tc>
        <w:tc>
          <w:tcPr>
            <w:tcW w:w="0" w:type="auto"/>
            <w:hideMark/>
          </w:tcPr>
          <w:p w14:paraId="7C1A682F" w14:textId="4F17D67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5688.7</w:t>
            </w:r>
          </w:p>
        </w:tc>
        <w:tc>
          <w:tcPr>
            <w:tcW w:w="0" w:type="auto"/>
            <w:hideMark/>
          </w:tcPr>
          <w:p w14:paraId="1C1BBEE6"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2734.0</w:t>
            </w:r>
          </w:p>
        </w:tc>
        <w:tc>
          <w:tcPr>
            <w:tcW w:w="0" w:type="auto"/>
            <w:hideMark/>
          </w:tcPr>
          <w:p w14:paraId="6F773FB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26438.0</w:t>
            </w:r>
          </w:p>
        </w:tc>
      </w:tr>
      <w:tr w:rsidR="006C037F" w:rsidRPr="006C037F" w14:paraId="3DBD1B58" w14:textId="77777777" w:rsidTr="006C037F">
        <w:tc>
          <w:tcPr>
            <w:tcW w:w="0" w:type="auto"/>
            <w:hideMark/>
          </w:tcPr>
          <w:p w14:paraId="047E06E1"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w:t>
            </w:r>
          </w:p>
        </w:tc>
        <w:tc>
          <w:tcPr>
            <w:tcW w:w="3064" w:type="dxa"/>
            <w:hideMark/>
          </w:tcPr>
          <w:p w14:paraId="71DA983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 per cápita (soles por persona)</w:t>
            </w:r>
          </w:p>
        </w:tc>
        <w:tc>
          <w:tcPr>
            <w:tcW w:w="976" w:type="dxa"/>
            <w:hideMark/>
          </w:tcPr>
          <w:p w14:paraId="6A0F4655" w14:textId="48DA9450"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1251.8</w:t>
            </w:r>
          </w:p>
        </w:tc>
        <w:tc>
          <w:tcPr>
            <w:tcW w:w="0" w:type="auto"/>
            <w:hideMark/>
          </w:tcPr>
          <w:p w14:paraId="670A138D" w14:textId="100A079C"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213.4</w:t>
            </w:r>
          </w:p>
        </w:tc>
        <w:tc>
          <w:tcPr>
            <w:tcW w:w="0" w:type="auto"/>
            <w:hideMark/>
          </w:tcPr>
          <w:p w14:paraId="089CFEEA"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911.8</w:t>
            </w:r>
          </w:p>
        </w:tc>
        <w:tc>
          <w:tcPr>
            <w:tcW w:w="0" w:type="auto"/>
            <w:hideMark/>
          </w:tcPr>
          <w:p w14:paraId="09EBFF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1589.1</w:t>
            </w:r>
          </w:p>
        </w:tc>
      </w:tr>
    </w:tbl>
    <w:p w14:paraId="296AE0B7" w14:textId="0C6B7EF8" w:rsidR="00B838A8" w:rsidRPr="006C037F" w:rsidRDefault="006C037F" w:rsidP="00B838A8">
      <w:pPr>
        <w:rPr>
          <w:sz w:val="18"/>
        </w:rPr>
      </w:pPr>
      <w:r w:rsidRPr="006C037F">
        <w:rPr>
          <w:sz w:val="18"/>
        </w:rPr>
        <w:t>Fuente: Elaboración propia, 2019</w:t>
      </w:r>
    </w:p>
    <w:p w14:paraId="7BBF7FDE" w14:textId="5C51024E" w:rsidR="006507EA" w:rsidRDefault="006C037F" w:rsidP="006507EA">
      <w:pPr>
        <w:pStyle w:val="Ttulo2"/>
      </w:pPr>
      <w:bookmarkStart w:id="32" w:name="_Toc6348725"/>
      <w:r>
        <w:t>Regresio</w:t>
      </w:r>
      <w:r w:rsidR="006507EA">
        <w:t>n</w:t>
      </w:r>
      <w:r>
        <w:t>es</w:t>
      </w:r>
      <w:r w:rsidR="006507EA">
        <w:t xml:space="preserve"> a estimar</w:t>
      </w:r>
      <w:bookmarkEnd w:id="32"/>
    </w:p>
    <w:p w14:paraId="2AD2411B" w14:textId="0EC00D1A" w:rsidR="00DA31E8" w:rsidRPr="00DA31E8" w:rsidRDefault="00DA31E8" w:rsidP="00DA31E8">
      <w:pPr>
        <w:pStyle w:val="Ttulo3"/>
      </w:pPr>
      <w:bookmarkStart w:id="33" w:name="_Ref6340956"/>
      <w:bookmarkStart w:id="34" w:name="_Toc6348726"/>
      <w:r>
        <w:t>Por corte transversal</w:t>
      </w:r>
      <w:bookmarkEnd w:id="33"/>
      <w:bookmarkEnd w:id="34"/>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w:t>
      </w:r>
      <w:proofErr w:type="spellStart"/>
      <w:r w:rsidR="003A5534">
        <w:t>Elhorst</w:t>
      </w:r>
      <w:proofErr w:type="spellEnd"/>
      <w:r w:rsidR="003A5534">
        <w:t xml:space="preserve">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lastRenderedPageBreak/>
        <w:t>Primero, estimamos</w:t>
      </w:r>
      <w:r w:rsidR="003A5534">
        <w:t xml:space="preserve"> el modelo por OLS y </w:t>
      </w:r>
      <w:r>
        <w:t>realizamos</w:t>
      </w:r>
      <w:r w:rsidR="003A5534">
        <w:t xml:space="preserve"> las pruebas robustas de multiplicador de </w:t>
      </w:r>
      <w:proofErr w:type="spellStart"/>
      <w:r w:rsidR="003A5534">
        <w:t>Lagrange</w:t>
      </w:r>
      <w:proofErr w:type="spellEnd"/>
      <w:r w:rsidR="003A5534">
        <w:t xml:space="preserve"> </w:t>
      </w:r>
      <w:r w:rsidR="002215E6">
        <w:t xml:space="preserve">(LM) </w:t>
      </w:r>
      <w:r w:rsidR="003A5534">
        <w:t xml:space="preserve">propuestas por </w:t>
      </w:r>
      <w:proofErr w:type="spellStart"/>
      <w:r w:rsidR="003A5534">
        <w:t>Anselin</w:t>
      </w:r>
      <w:proofErr w:type="spellEnd"/>
      <w:r w:rsidR="003A5534">
        <w:t xml:space="preserve">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Esta prueba utiliza los residuos de la regresión estimada y sigue una distribución </w:t>
      </w:r>
      <w:proofErr w:type="spellStart"/>
      <w:r w:rsidR="003A5534">
        <w:t>chi</w:t>
      </w:r>
      <w:proofErr w:type="spellEnd"/>
      <w:r w:rsidR="003A5534">
        <w:t>-cuadrado con un grado de libertad.</w:t>
      </w:r>
      <w:r w:rsidR="00ED072A">
        <w:t xml:space="preserve"> La ecuación a estimar por OLS es la siguiente:</w:t>
      </w:r>
    </w:p>
    <w:p w14:paraId="7A77764F" w14:textId="2EE5123B" w:rsidR="003A5534" w:rsidRDefault="00DF6465"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370DAFD9" w:rsidR="002215E6" w:rsidRPr="00C26DDD" w:rsidRDefault="002215E6" w:rsidP="00CB4A95">
      <w:pPr>
        <w:rPr>
          <w:lang w:val="en-US"/>
        </w:rPr>
      </w:pPr>
      <w:proofErr w:type="spellStart"/>
      <w:r w:rsidRPr="00C26DDD">
        <w:rPr>
          <w:lang w:val="en-US"/>
        </w:rPr>
        <w:t>Elhorst</w:t>
      </w:r>
      <w:proofErr w:type="spellEnd"/>
      <w:r w:rsidRPr="00C26DDD">
        <w:rPr>
          <w:lang w:val="en-US"/>
        </w:rPr>
        <w:t xml:space="preserve"> </w:t>
      </w:r>
      <w:r w:rsidRPr="00DA18E1">
        <w:fldChar w:fldCharType="begin"/>
      </w:r>
      <w:r w:rsidR="0038259E" w:rsidRPr="00C26DDD">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A18E1">
        <w:fldChar w:fldCharType="separate"/>
      </w:r>
      <w:r w:rsidRPr="00C26DDD">
        <w:rPr>
          <w:rFonts w:ascii="Times New Roman" w:hAnsi="Times New Roman"/>
          <w:lang w:val="en-US"/>
        </w:rPr>
        <w:t>(2010)</w:t>
      </w:r>
      <w:r w:rsidRPr="00DA18E1">
        <w:fldChar w:fldCharType="end"/>
      </w:r>
      <w:r w:rsidRPr="00C26DDD">
        <w:rPr>
          <w:lang w:val="en-US"/>
        </w:rPr>
        <w:t xml:space="preserve"> </w:t>
      </w:r>
      <w:proofErr w:type="spellStart"/>
      <w:r w:rsidRPr="00C26DDD">
        <w:rPr>
          <w:lang w:val="en-US"/>
        </w:rPr>
        <w:t>indica</w:t>
      </w:r>
      <w:proofErr w:type="spellEnd"/>
      <w:r w:rsidRPr="00C26DDD">
        <w:rPr>
          <w:lang w:val="en-US"/>
        </w:rPr>
        <w:t xml:space="preserve"> que </w:t>
      </w:r>
      <w:proofErr w:type="spellStart"/>
      <w:r w:rsidRPr="00C26DDD">
        <w:rPr>
          <w:lang w:val="en-US"/>
        </w:rPr>
        <w:t>si</w:t>
      </w:r>
      <w:proofErr w:type="spellEnd"/>
      <w:r w:rsidRPr="00C26DDD">
        <w:rPr>
          <w:lang w:val="en-US"/>
        </w:rPr>
        <w:t xml:space="preserve"> las </w:t>
      </w:r>
      <w:proofErr w:type="spellStart"/>
      <w:r w:rsidRPr="00C26DDD">
        <w:rPr>
          <w:lang w:val="en-US"/>
        </w:rPr>
        <w:t>pruebas</w:t>
      </w:r>
      <w:proofErr w:type="spellEnd"/>
      <w:r w:rsidRPr="00C26DDD">
        <w:rPr>
          <w:lang w:val="en-US"/>
        </w:rPr>
        <w:t xml:space="preserve"> de LM de </w:t>
      </w:r>
      <w:proofErr w:type="spellStart"/>
      <w:r w:rsidRPr="00C26DDD">
        <w:rPr>
          <w:lang w:val="en-US"/>
        </w:rPr>
        <w:t>Anselin</w:t>
      </w:r>
      <w:proofErr w:type="spellEnd"/>
      <w:r w:rsidRPr="00C26DDD">
        <w:rPr>
          <w:lang w:val="en-US"/>
        </w:rPr>
        <w:t xml:space="preserve"> (1996) son </w:t>
      </w:r>
      <w:proofErr w:type="spellStart"/>
      <w:r w:rsidRPr="00C26DDD">
        <w:rPr>
          <w:lang w:val="en-US"/>
        </w:rPr>
        <w:t>rechazadas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rezagos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error</w:t>
      </w:r>
      <w:r w:rsidR="00CF2550" w:rsidRPr="00C26DDD">
        <w:rPr>
          <w:lang w:val="en-US"/>
        </w:rPr>
        <w:t>e</w:t>
      </w:r>
      <w:r w:rsidR="009773EE" w:rsidRPr="00C26DDD">
        <w:rPr>
          <w:lang w:val="en-US"/>
        </w:rPr>
        <w:t>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o para ambos, </w:t>
      </w:r>
      <w:proofErr w:type="spellStart"/>
      <w:r w:rsidR="009773EE" w:rsidRPr="00C26DDD">
        <w:rPr>
          <w:lang w:val="en-US"/>
        </w:rPr>
        <w:t>entonces</w:t>
      </w:r>
      <w:proofErr w:type="spellEnd"/>
      <w:r w:rsidR="009773EE" w:rsidRPr="00C26DDD">
        <w:rPr>
          <w:lang w:val="en-US"/>
        </w:rPr>
        <w:t xml:space="preserve"> se</w:t>
      </w:r>
      <w:r w:rsidRPr="00C26DDD">
        <w:rPr>
          <w:lang w:val="en-US"/>
        </w:rPr>
        <w:t xml:space="preserve"> </w:t>
      </w:r>
      <w:proofErr w:type="spellStart"/>
      <w:r w:rsidRPr="00C26DDD">
        <w:rPr>
          <w:lang w:val="en-US"/>
        </w:rPr>
        <w:t>estima</w:t>
      </w:r>
      <w:proofErr w:type="spellEnd"/>
      <w:r w:rsidRPr="00C26DDD">
        <w:rPr>
          <w:lang w:val="en-US"/>
        </w:rPr>
        <w:t xml:space="preserve"> el </w:t>
      </w:r>
      <w:proofErr w:type="spellStart"/>
      <w:r w:rsidRPr="00C26DDD">
        <w:rPr>
          <w:lang w:val="en-US"/>
        </w:rPr>
        <w:t>modelo</w:t>
      </w:r>
      <w:proofErr w:type="spellEnd"/>
      <w:r w:rsidRPr="00C26DDD">
        <w:rPr>
          <w:lang w:val="en-US"/>
        </w:rPr>
        <w:t xml:space="preserve"> espacial de Durbin</w:t>
      </w:r>
      <w:r w:rsidR="009773EE" w:rsidRPr="00C26DDD">
        <w:rPr>
          <w:lang w:val="en-US"/>
        </w:rPr>
        <w:t xml:space="preserve"> con la </w:t>
      </w:r>
      <w:proofErr w:type="spellStart"/>
      <w:r w:rsidR="009773EE" w:rsidRPr="00C26DDD">
        <w:rPr>
          <w:lang w:val="en-US"/>
        </w:rPr>
        <w:t>información</w:t>
      </w:r>
      <w:proofErr w:type="spellEnd"/>
      <w:r w:rsidR="009773EE" w:rsidRPr="00C26DDD">
        <w:rPr>
          <w:lang w:val="en-US"/>
        </w:rPr>
        <w:t xml:space="preserve"> del </w:t>
      </w:r>
      <w:proofErr w:type="spellStart"/>
      <w:r w:rsidR="009773EE" w:rsidRPr="00C26DDD">
        <w:rPr>
          <w:lang w:val="en-US"/>
        </w:rPr>
        <w:t>corte</w:t>
      </w:r>
      <w:proofErr w:type="spellEnd"/>
      <w:r w:rsidR="009773EE" w:rsidRPr="00C26DDD">
        <w:rPr>
          <w:lang w:val="en-US"/>
        </w:rPr>
        <w:t xml:space="preserve"> transversal </w:t>
      </w:r>
      <m:oMath>
        <m:r>
          <m:rPr>
            <m:sty m:val="bi"/>
          </m:rPr>
          <w:rPr>
            <w:rFonts w:ascii="Cambria Math" w:hAnsi="Cambria Math"/>
          </w:rPr>
          <m:t>t</m:t>
        </m:r>
      </m:oMath>
      <w:r w:rsidRPr="00C26DDD">
        <w:rPr>
          <w:lang w:val="en-US"/>
        </w:rPr>
        <w:t>:</w:t>
      </w:r>
    </w:p>
    <w:p w14:paraId="536858EC" w14:textId="34E2F22B" w:rsidR="002215E6" w:rsidRPr="00EC3D8A" w:rsidRDefault="00DF6465" w:rsidP="00CB4A95">
      <w:pPr>
        <w:rPr>
          <w:lang w:val="en-U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n-U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n-U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r w:rsidRPr="00EC3D8A">
        <w:rPr>
          <w:lang w:val="en-US"/>
        </w:rPr>
        <w:t xml:space="preserve">Este </w:t>
      </w:r>
      <w:proofErr w:type="spellStart"/>
      <w:r w:rsidRPr="00EC3D8A">
        <w:rPr>
          <w:lang w:val="en-US"/>
        </w:rPr>
        <w:t>modelo</w:t>
      </w:r>
      <w:proofErr w:type="spellEnd"/>
      <w:r w:rsidRPr="00EC3D8A">
        <w:rPr>
          <w:lang w:val="en-US"/>
        </w:rPr>
        <w:t xml:space="preserve"> se </w:t>
      </w:r>
      <w:proofErr w:type="spellStart"/>
      <w:r w:rsidRPr="00EC3D8A">
        <w:rPr>
          <w:lang w:val="en-US"/>
        </w:rPr>
        <w:t>estimará</w:t>
      </w:r>
      <w:proofErr w:type="spellEnd"/>
      <w:r w:rsidRPr="00EC3D8A">
        <w:rPr>
          <w:lang w:val="en-US"/>
        </w:rPr>
        <w:t xml:space="preserve"> </w:t>
      </w:r>
      <w:proofErr w:type="spellStart"/>
      <w:r w:rsidRPr="00EC3D8A">
        <w:rPr>
          <w:lang w:val="en-US"/>
        </w:rPr>
        <w:t>por</w:t>
      </w:r>
      <w:proofErr w:type="spellEnd"/>
      <w:r w:rsidRPr="00EC3D8A">
        <w:rPr>
          <w:lang w:val="en-US"/>
        </w:rPr>
        <w:t xml:space="preserve"> </w:t>
      </w:r>
      <w:proofErr w:type="spellStart"/>
      <w:r w:rsidRPr="00EC3D8A">
        <w:rPr>
          <w:lang w:val="en-US"/>
        </w:rPr>
        <w:t>máxima</w:t>
      </w:r>
      <w:proofErr w:type="spellEnd"/>
      <w:r w:rsidRPr="00EC3D8A">
        <w:rPr>
          <w:lang w:val="en-US"/>
        </w:rPr>
        <w:t xml:space="preserve"> </w:t>
      </w:r>
      <w:proofErr w:type="spellStart"/>
      <w:r w:rsidRPr="00EC3D8A">
        <w:rPr>
          <w:lang w:val="en-US"/>
        </w:rPr>
        <w:t>verosimilitud</w:t>
      </w:r>
      <w:proofErr w:type="spellEnd"/>
      <w:r w:rsidRPr="00EC3D8A">
        <w:rPr>
          <w:lang w:val="en-US"/>
        </w:rPr>
        <w:t xml:space="preserve">, </w:t>
      </w:r>
      <w:proofErr w:type="spellStart"/>
      <w:r w:rsidRPr="00EC3D8A">
        <w:rPr>
          <w:lang w:val="en-US"/>
        </w:rPr>
        <w:t>aplicando</w:t>
      </w:r>
      <w:proofErr w:type="spellEnd"/>
      <w:r w:rsidRPr="00EC3D8A">
        <w:rPr>
          <w:lang w:val="en-US"/>
        </w:rPr>
        <w:t xml:space="preserve"> un test de </w:t>
      </w:r>
      <w:proofErr w:type="spellStart"/>
      <w:r w:rsidRPr="00EC3D8A">
        <w:rPr>
          <w:lang w:val="en-US"/>
        </w:rPr>
        <w:t>razón</w:t>
      </w:r>
      <w:proofErr w:type="spellEnd"/>
      <w:r w:rsidRPr="00EC3D8A">
        <w:rPr>
          <w:lang w:val="en-US"/>
        </w:rPr>
        <w:t xml:space="preserve"> de </w:t>
      </w:r>
      <w:proofErr w:type="spellStart"/>
      <w:r w:rsidRPr="00EC3D8A">
        <w:rPr>
          <w:lang w:val="en-US"/>
        </w:rPr>
        <w:t>verosimilitud</w:t>
      </w:r>
      <w:proofErr w:type="spellEnd"/>
      <w:r w:rsidRPr="00EC3D8A">
        <w:rPr>
          <w:lang w:val="en-US"/>
        </w:rPr>
        <w:t xml:space="preserve"> (LR) para las </w:t>
      </w:r>
      <w:proofErr w:type="spellStart"/>
      <w:r w:rsidRPr="00EC3D8A">
        <w:rPr>
          <w:lang w:val="en-US"/>
        </w:rPr>
        <w:t>hipótesis</w:t>
      </w:r>
      <w:proofErr w:type="spellEnd"/>
      <w:r w:rsidRPr="00EC3D8A">
        <w:rPr>
          <w:lang w:val="en-US"/>
        </w:rPr>
        <w:t xml:space="preserve">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m:t>
        </m:r>
        <m:r>
          <w:rPr>
            <w:rFonts w:ascii="Cambria Math" w:hAnsi="Cambria Math"/>
          </w:rPr>
          <m:t>θ</m:t>
        </m:r>
        <m:r>
          <w:rPr>
            <w:rFonts w:ascii="Cambria Math" w:hAnsi="Cambria Math"/>
            <w:lang w:val="en-US"/>
          </w:rPr>
          <m:t>=0</m:t>
        </m:r>
      </m:oMath>
      <w:r w:rsidRPr="00EC3D8A">
        <w:rPr>
          <w:lang w:val="en-US"/>
        </w:rPr>
        <w:t xml:space="preserve"> y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2</m:t>
            </m:r>
          </m:sup>
        </m:sSubSup>
        <m:r>
          <w:rPr>
            <w:rFonts w:ascii="Cambria Math" w:hAnsi="Cambria Math"/>
          </w:rPr>
          <m:t>:θ+ρβ=0</m:t>
        </m:r>
      </m:oMath>
      <w:r w:rsidRPr="006C037F">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bookmarkStart w:id="35" w:name="_Toc6348727"/>
      <w:r>
        <w:lastRenderedPageBreak/>
        <w:t>Por panel</w:t>
      </w:r>
      <w:bookmarkEnd w:id="35"/>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DF6465"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0BD19EC0"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w:t>
      </w:r>
      <w:proofErr w:type="spellStart"/>
      <w:r w:rsidR="00E8719E">
        <w:rPr>
          <w:lang w:val="es-ES"/>
        </w:rPr>
        <w:t>taciones</w:t>
      </w:r>
      <w:proofErr w:type="spellEnd"/>
      <w:r w:rsidR="00E8719E">
        <w:rPr>
          <w:lang w:val="es-ES"/>
        </w:rPr>
        <w:t xml:space="preserve"> abanderadas. La variable es igual a 1 si la estación es abanderada de Pecsa en 2018, 0 en caso contrario. </w:t>
      </w:r>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w:t>
      </w:r>
      <w:proofErr w:type="spellStart"/>
      <w:r w:rsidR="0007726E">
        <w:rPr>
          <w:lang w:val="es-ES"/>
        </w:rPr>
        <w:t>ncontraba</w:t>
      </w:r>
      <w:proofErr w:type="spellEnd"/>
      <w:r w:rsidR="0007726E">
        <w:rPr>
          <w:lang w:val="es-ES"/>
        </w:rPr>
        <w:t xml:space="preserve"> presente una estación propia de Pecsa.</w:t>
      </w:r>
    </w:p>
    <w:p w14:paraId="39C01FA4" w14:textId="329A0456" w:rsidR="0007726E" w:rsidRDefault="0007726E">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36" w:name="_Toc6348728"/>
      <w:bookmarkStart w:id="37" w:name="_GoBack"/>
      <w:bookmarkEnd w:id="37"/>
      <w:r>
        <w:rPr>
          <w:lang w:val="es-ES"/>
        </w:rPr>
        <w:lastRenderedPageBreak/>
        <w:t>Resultados y Discusión</w:t>
      </w:r>
      <w:bookmarkEnd w:id="36"/>
    </w:p>
    <w:p w14:paraId="15D18566" w14:textId="08564632" w:rsidR="009A3452" w:rsidRPr="009A3452" w:rsidRDefault="009A3452" w:rsidP="009A3452">
      <w:pPr>
        <w:pStyle w:val="Ttulo2"/>
        <w:rPr>
          <w:lang w:val="es-ES"/>
        </w:rPr>
      </w:pPr>
      <w:bookmarkStart w:id="38" w:name="_Toc6348729"/>
      <w:r>
        <w:rPr>
          <w:lang w:val="es-ES"/>
        </w:rPr>
        <w:t>Estimación por corte transversal</w:t>
      </w:r>
      <w:bookmarkEnd w:id="38"/>
    </w:p>
    <w:p w14:paraId="0402BFEE" w14:textId="79DE2A57"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(tres y seis meses antes y después de la adquisición de las estaciones de Pecsa).</w:t>
      </w:r>
    </w:p>
    <w:p w14:paraId="13E705D2" w14:textId="1C5B7146" w:rsidR="00CC64D9" w:rsidRDefault="00CC64D9" w:rsidP="00CC64D9">
      <w:pPr>
        <w:pStyle w:val="Descripcin"/>
        <w:keepNext/>
      </w:pPr>
      <w:bookmarkStart w:id="39" w:name="_Ref6331822"/>
      <w:bookmarkStart w:id="40" w:name="_Toc6348799"/>
      <w:r>
        <w:t xml:space="preserve">Tabla </w:t>
      </w:r>
      <w:r>
        <w:fldChar w:fldCharType="begin"/>
      </w:r>
      <w:r>
        <w:instrText xml:space="preserve"> SEQ Tabla \* ARABIC </w:instrText>
      </w:r>
      <w:r>
        <w:fldChar w:fldCharType="separate"/>
      </w:r>
      <w:r w:rsidR="00560D5E">
        <w:rPr>
          <w:noProof/>
        </w:rPr>
        <w:t>4</w:t>
      </w:r>
      <w:r>
        <w:fldChar w:fldCharType="end"/>
      </w:r>
      <w:bookmarkEnd w:id="39"/>
      <w:r>
        <w:t>: Resultados de regresión lineal por MCO - Combustible Diésel DB5-S50</w:t>
      </w:r>
      <w:bookmarkEnd w:id="40"/>
    </w:p>
    <w:tbl>
      <w:tblPr>
        <w:tblStyle w:val="Cuadrculadetablaclara"/>
        <w:tblW w:w="9033" w:type="dxa"/>
        <w:tblLook w:val="04A0" w:firstRow="1" w:lastRow="0" w:firstColumn="1" w:lastColumn="0" w:noHBand="0" w:noVBand="1"/>
      </w:tblPr>
      <w:tblGrid>
        <w:gridCol w:w="1838"/>
        <w:gridCol w:w="1678"/>
        <w:gridCol w:w="1783"/>
        <w:gridCol w:w="1867"/>
        <w:gridCol w:w="1867"/>
      </w:tblGrid>
      <w:tr w:rsidR="00CD5B0E" w:rsidRPr="00E15DF9" w14:paraId="646549BC" w14:textId="77777777" w:rsidTr="00CD5B0E">
        <w:tc>
          <w:tcPr>
            <w:tcW w:w="1838" w:type="dxa"/>
            <w:hideMark/>
          </w:tcPr>
          <w:p w14:paraId="4A219B28"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064A1DC9" w14:textId="26AD74B2" w:rsidR="00E15DF9" w:rsidRPr="00E15DF9" w:rsidRDefault="00EB4D69" w:rsidP="00E15DF9">
            <w:pPr>
              <w:spacing w:after="0" w:line="240" w:lineRule="auto"/>
              <w:jc w:val="center"/>
              <w:rPr>
                <w:rFonts w:cstheme="minorHAnsi"/>
                <w:color w:val="333333"/>
                <w:sz w:val="18"/>
                <w:szCs w:val="18"/>
              </w:rPr>
            </w:pPr>
            <w:r w:rsidRPr="00EB4D69">
              <w:rPr>
                <w:rFonts w:cstheme="minorHAnsi"/>
                <w:i/>
                <w:iCs/>
                <w:color w:val="333333"/>
                <w:sz w:val="18"/>
                <w:szCs w:val="18"/>
              </w:rPr>
              <w:t>Variable Dependiente</w:t>
            </w:r>
          </w:p>
        </w:tc>
      </w:tr>
      <w:tr w:rsidR="00CD5B0E" w:rsidRPr="00E15DF9" w14:paraId="1ED5430B" w14:textId="77777777" w:rsidTr="00CD5B0E">
        <w:tc>
          <w:tcPr>
            <w:tcW w:w="1838" w:type="dxa"/>
            <w:hideMark/>
          </w:tcPr>
          <w:p w14:paraId="535CB7EE"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2708FCC1" w14:textId="528C83F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 xml:space="preserve">Precio de venta de </w:t>
            </w:r>
            <w:proofErr w:type="spellStart"/>
            <w:r w:rsidRPr="00EB4D69">
              <w:rPr>
                <w:rFonts w:cstheme="minorHAnsi"/>
                <w:color w:val="333333"/>
                <w:sz w:val="18"/>
                <w:szCs w:val="18"/>
              </w:rPr>
              <w:t>Diesel</w:t>
            </w:r>
            <w:proofErr w:type="spellEnd"/>
            <w:r w:rsidRPr="00EB4D69">
              <w:rPr>
                <w:rFonts w:cstheme="minorHAnsi"/>
                <w:color w:val="333333"/>
                <w:sz w:val="18"/>
                <w:szCs w:val="18"/>
              </w:rPr>
              <w:t xml:space="preserve"> DB5</w:t>
            </w:r>
          </w:p>
        </w:tc>
      </w:tr>
      <w:tr w:rsidR="00CD5B0E" w:rsidRPr="00E15DF9" w14:paraId="5E798ABE" w14:textId="77777777" w:rsidTr="00CD5B0E">
        <w:tc>
          <w:tcPr>
            <w:tcW w:w="1838" w:type="dxa"/>
            <w:hideMark/>
          </w:tcPr>
          <w:p w14:paraId="7679C90C" w14:textId="41B25FF2" w:rsidR="00E15DF9" w:rsidRPr="00E15DF9" w:rsidRDefault="00EB4D69" w:rsidP="00EB4D69">
            <w:pPr>
              <w:spacing w:after="0" w:line="240" w:lineRule="auto"/>
              <w:jc w:val="left"/>
              <w:rPr>
                <w:rFonts w:cstheme="minorHAnsi"/>
                <w:color w:val="333333"/>
                <w:sz w:val="18"/>
                <w:szCs w:val="18"/>
              </w:rPr>
            </w:pPr>
            <w:r w:rsidRPr="00EB4D69">
              <w:rPr>
                <w:rFonts w:cstheme="minorHAnsi"/>
                <w:color w:val="333333"/>
                <w:sz w:val="18"/>
                <w:szCs w:val="18"/>
              </w:rPr>
              <w:t>Mes</w:t>
            </w:r>
          </w:p>
        </w:tc>
        <w:tc>
          <w:tcPr>
            <w:tcW w:w="1678" w:type="dxa"/>
            <w:hideMark/>
          </w:tcPr>
          <w:p w14:paraId="3922B936" w14:textId="22C683F8"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04281D2B" w14:textId="36A01433"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11F3B837" w14:textId="5F1432C6"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4DEED54B" w14:textId="1E5A6E6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D5B0E" w:rsidRPr="00E15DF9" w14:paraId="0930BB1B" w14:textId="77777777" w:rsidTr="00CD5B0E">
        <w:tc>
          <w:tcPr>
            <w:tcW w:w="1838" w:type="dxa"/>
            <w:hideMark/>
          </w:tcPr>
          <w:p w14:paraId="4BB9C6AB" w14:textId="19B92C9A"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 xml:space="preserve">Abanderada </w:t>
            </w:r>
            <w:r w:rsidR="00EB4D69" w:rsidRPr="00E15DF9">
              <w:rPr>
                <w:rFonts w:cstheme="minorHAnsi"/>
                <w:color w:val="333333"/>
                <w:sz w:val="18"/>
                <w:szCs w:val="18"/>
              </w:rPr>
              <w:t>Petroperú</w:t>
            </w:r>
          </w:p>
        </w:tc>
        <w:tc>
          <w:tcPr>
            <w:tcW w:w="1678" w:type="dxa"/>
            <w:hideMark/>
          </w:tcPr>
          <w:p w14:paraId="31076D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0.108 (0.083)</w:t>
            </w:r>
          </w:p>
        </w:tc>
        <w:tc>
          <w:tcPr>
            <w:tcW w:w="0" w:type="auto"/>
            <w:hideMark/>
          </w:tcPr>
          <w:p w14:paraId="04FB10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0.151</w:t>
            </w:r>
            <w:r w:rsidRPr="00E15DF9">
              <w:rPr>
                <w:rFonts w:cstheme="minorHAnsi"/>
                <w:color w:val="333333"/>
                <w:sz w:val="18"/>
                <w:szCs w:val="18"/>
                <w:vertAlign w:val="superscript"/>
              </w:rPr>
              <w:t>*</w:t>
            </w:r>
            <w:r w:rsidRPr="00E15DF9">
              <w:rPr>
                <w:rFonts w:cstheme="minorHAnsi"/>
                <w:color w:val="333333"/>
                <w:sz w:val="18"/>
                <w:szCs w:val="18"/>
              </w:rPr>
              <w:t> (0.080)</w:t>
            </w:r>
          </w:p>
        </w:tc>
        <w:tc>
          <w:tcPr>
            <w:tcW w:w="0" w:type="auto"/>
            <w:hideMark/>
          </w:tcPr>
          <w:p w14:paraId="2EBD932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(0.074)</w:t>
            </w:r>
          </w:p>
        </w:tc>
        <w:tc>
          <w:tcPr>
            <w:tcW w:w="0" w:type="auto"/>
            <w:hideMark/>
          </w:tcPr>
          <w:p w14:paraId="39C302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0.126 (0.078)</w:t>
            </w:r>
          </w:p>
        </w:tc>
      </w:tr>
      <w:tr w:rsidR="00CD5B0E" w:rsidRPr="00E15DF9" w14:paraId="1ADC792E" w14:textId="77777777" w:rsidTr="00CD5B0E">
        <w:tc>
          <w:tcPr>
            <w:tcW w:w="1838" w:type="dxa"/>
            <w:hideMark/>
          </w:tcPr>
          <w:p w14:paraId="2D86AD03"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Pecsa</w:t>
            </w:r>
          </w:p>
        </w:tc>
        <w:tc>
          <w:tcPr>
            <w:tcW w:w="1678" w:type="dxa"/>
            <w:hideMark/>
          </w:tcPr>
          <w:p w14:paraId="22A81A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0.167</w:t>
            </w:r>
            <w:r w:rsidRPr="00E15DF9">
              <w:rPr>
                <w:rFonts w:cstheme="minorHAnsi"/>
                <w:color w:val="333333"/>
                <w:sz w:val="18"/>
                <w:szCs w:val="18"/>
                <w:vertAlign w:val="superscript"/>
              </w:rPr>
              <w:t>*</w:t>
            </w:r>
            <w:r w:rsidRPr="00E15DF9">
              <w:rPr>
                <w:rFonts w:cstheme="minorHAnsi"/>
                <w:color w:val="333333"/>
                <w:sz w:val="18"/>
                <w:szCs w:val="18"/>
              </w:rPr>
              <w:t> (0.097)</w:t>
            </w:r>
          </w:p>
        </w:tc>
        <w:tc>
          <w:tcPr>
            <w:tcW w:w="0" w:type="auto"/>
            <w:hideMark/>
          </w:tcPr>
          <w:p w14:paraId="2609410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0.227</w:t>
            </w:r>
            <w:r w:rsidRPr="00E15DF9">
              <w:rPr>
                <w:rFonts w:cstheme="minorHAnsi"/>
                <w:color w:val="333333"/>
                <w:sz w:val="18"/>
                <w:szCs w:val="18"/>
                <w:vertAlign w:val="superscript"/>
              </w:rPr>
              <w:t>**</w:t>
            </w:r>
            <w:r w:rsidRPr="00E15DF9">
              <w:rPr>
                <w:rFonts w:cstheme="minorHAnsi"/>
                <w:color w:val="333333"/>
                <w:sz w:val="18"/>
                <w:szCs w:val="18"/>
              </w:rPr>
              <w:t> (0.091)</w:t>
            </w:r>
          </w:p>
        </w:tc>
        <w:tc>
          <w:tcPr>
            <w:tcW w:w="0" w:type="auto"/>
            <w:hideMark/>
          </w:tcPr>
          <w:p w14:paraId="4C11579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0.178</w:t>
            </w:r>
            <w:r w:rsidRPr="00E15DF9">
              <w:rPr>
                <w:rFonts w:cstheme="minorHAnsi"/>
                <w:color w:val="333333"/>
                <w:sz w:val="18"/>
                <w:szCs w:val="18"/>
                <w:vertAlign w:val="superscript"/>
              </w:rPr>
              <w:t>**</w:t>
            </w:r>
            <w:r w:rsidRPr="00E15DF9">
              <w:rPr>
                <w:rFonts w:cstheme="minorHAnsi"/>
                <w:color w:val="333333"/>
                <w:sz w:val="18"/>
                <w:szCs w:val="18"/>
              </w:rPr>
              <w:t> (0.084)</w:t>
            </w:r>
          </w:p>
        </w:tc>
        <w:tc>
          <w:tcPr>
            <w:tcW w:w="0" w:type="auto"/>
            <w:hideMark/>
          </w:tcPr>
          <w:p w14:paraId="5059AA0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0.261</w:t>
            </w:r>
            <w:r w:rsidRPr="00E15DF9">
              <w:rPr>
                <w:rFonts w:cstheme="minorHAnsi"/>
                <w:color w:val="333333"/>
                <w:sz w:val="18"/>
                <w:szCs w:val="18"/>
                <w:vertAlign w:val="superscript"/>
              </w:rPr>
              <w:t>***</w:t>
            </w:r>
            <w:r w:rsidRPr="00E15DF9">
              <w:rPr>
                <w:rFonts w:cstheme="minorHAnsi"/>
                <w:color w:val="333333"/>
                <w:sz w:val="18"/>
                <w:szCs w:val="18"/>
              </w:rPr>
              <w:t> (0.089)</w:t>
            </w:r>
          </w:p>
        </w:tc>
      </w:tr>
      <w:tr w:rsidR="00CD5B0E" w:rsidRPr="00E15DF9" w14:paraId="1E95235F" w14:textId="77777777" w:rsidTr="00CD5B0E">
        <w:tc>
          <w:tcPr>
            <w:tcW w:w="1838" w:type="dxa"/>
            <w:hideMark/>
          </w:tcPr>
          <w:p w14:paraId="17219AC0"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Primax</w:t>
            </w:r>
          </w:p>
        </w:tc>
        <w:tc>
          <w:tcPr>
            <w:tcW w:w="1678" w:type="dxa"/>
            <w:hideMark/>
          </w:tcPr>
          <w:p w14:paraId="7F3A84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0.315</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0301B5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0.379</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73A7326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0.340</w:t>
            </w:r>
            <w:r w:rsidRPr="00E15DF9">
              <w:rPr>
                <w:rFonts w:cstheme="minorHAnsi"/>
                <w:color w:val="333333"/>
                <w:sz w:val="18"/>
                <w:szCs w:val="18"/>
                <w:vertAlign w:val="superscript"/>
              </w:rPr>
              <w:t>***</w:t>
            </w:r>
            <w:r w:rsidRPr="00E15DF9">
              <w:rPr>
                <w:rFonts w:cstheme="minorHAnsi"/>
                <w:color w:val="333333"/>
                <w:sz w:val="18"/>
                <w:szCs w:val="18"/>
              </w:rPr>
              <w:t> (0.063)</w:t>
            </w:r>
          </w:p>
        </w:tc>
        <w:tc>
          <w:tcPr>
            <w:tcW w:w="0" w:type="auto"/>
            <w:hideMark/>
          </w:tcPr>
          <w:p w14:paraId="7044E86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0.421</w:t>
            </w:r>
            <w:r w:rsidRPr="00E15DF9">
              <w:rPr>
                <w:rFonts w:cstheme="minorHAnsi"/>
                <w:color w:val="333333"/>
                <w:sz w:val="18"/>
                <w:szCs w:val="18"/>
                <w:vertAlign w:val="superscript"/>
              </w:rPr>
              <w:t>***</w:t>
            </w:r>
            <w:r w:rsidRPr="00E15DF9">
              <w:rPr>
                <w:rFonts w:cstheme="minorHAnsi"/>
                <w:color w:val="333333"/>
                <w:sz w:val="18"/>
                <w:szCs w:val="18"/>
              </w:rPr>
              <w:t> (0.067)</w:t>
            </w:r>
          </w:p>
        </w:tc>
      </w:tr>
      <w:tr w:rsidR="00CD5B0E" w:rsidRPr="00E15DF9" w14:paraId="3E1AC7CA" w14:textId="77777777" w:rsidTr="00CD5B0E">
        <w:tc>
          <w:tcPr>
            <w:tcW w:w="1838" w:type="dxa"/>
            <w:hideMark/>
          </w:tcPr>
          <w:p w14:paraId="5A7AA68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Repsol</w:t>
            </w:r>
          </w:p>
        </w:tc>
        <w:tc>
          <w:tcPr>
            <w:tcW w:w="1678" w:type="dxa"/>
            <w:hideMark/>
          </w:tcPr>
          <w:p w14:paraId="2E53CA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0.269</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5F86F72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0.392</w:t>
            </w:r>
            <w:r w:rsidRPr="00E15DF9">
              <w:rPr>
                <w:rFonts w:cstheme="minorHAnsi"/>
                <w:color w:val="333333"/>
                <w:sz w:val="18"/>
                <w:szCs w:val="18"/>
                <w:vertAlign w:val="superscript"/>
              </w:rPr>
              <w:t>***</w:t>
            </w:r>
            <w:r w:rsidRPr="00E15DF9">
              <w:rPr>
                <w:rFonts w:cstheme="minorHAnsi"/>
                <w:color w:val="333333"/>
                <w:sz w:val="18"/>
                <w:szCs w:val="18"/>
              </w:rPr>
              <w:t> (0.075)</w:t>
            </w:r>
          </w:p>
        </w:tc>
        <w:tc>
          <w:tcPr>
            <w:tcW w:w="0" w:type="auto"/>
            <w:hideMark/>
          </w:tcPr>
          <w:p w14:paraId="57C5455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0.320</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4601620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0.327</w:t>
            </w:r>
            <w:r w:rsidRPr="00E15DF9">
              <w:rPr>
                <w:rFonts w:cstheme="minorHAnsi"/>
                <w:color w:val="333333"/>
                <w:sz w:val="18"/>
                <w:szCs w:val="18"/>
                <w:vertAlign w:val="superscript"/>
              </w:rPr>
              <w:t>***</w:t>
            </w:r>
            <w:r w:rsidRPr="00E15DF9">
              <w:rPr>
                <w:rFonts w:cstheme="minorHAnsi"/>
                <w:color w:val="333333"/>
                <w:sz w:val="18"/>
                <w:szCs w:val="18"/>
              </w:rPr>
              <w:t> (0.073)</w:t>
            </w:r>
          </w:p>
        </w:tc>
      </w:tr>
      <w:tr w:rsidR="00CD5B0E" w:rsidRPr="00E15DF9" w14:paraId="3FE28504" w14:textId="77777777" w:rsidTr="00CD5B0E">
        <w:tc>
          <w:tcPr>
            <w:tcW w:w="1838" w:type="dxa"/>
            <w:hideMark/>
          </w:tcPr>
          <w:p w14:paraId="246F660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Pecsa</w:t>
            </w:r>
          </w:p>
        </w:tc>
        <w:tc>
          <w:tcPr>
            <w:tcW w:w="1678" w:type="dxa"/>
            <w:hideMark/>
          </w:tcPr>
          <w:p w14:paraId="60A9E59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-0.100 (0.104)</w:t>
            </w:r>
          </w:p>
        </w:tc>
        <w:tc>
          <w:tcPr>
            <w:tcW w:w="0" w:type="auto"/>
            <w:hideMark/>
          </w:tcPr>
          <w:p w14:paraId="70DADEB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0.112 (0.100)</w:t>
            </w:r>
          </w:p>
        </w:tc>
        <w:tc>
          <w:tcPr>
            <w:tcW w:w="0" w:type="auto"/>
            <w:hideMark/>
          </w:tcPr>
          <w:p w14:paraId="17A04B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0.016 (0.092)</w:t>
            </w:r>
          </w:p>
        </w:tc>
        <w:tc>
          <w:tcPr>
            <w:tcW w:w="0" w:type="auto"/>
            <w:hideMark/>
          </w:tcPr>
          <w:p w14:paraId="7B77D99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0.158 (0.098)</w:t>
            </w:r>
          </w:p>
        </w:tc>
      </w:tr>
      <w:tr w:rsidR="00CD5B0E" w:rsidRPr="00E15DF9" w14:paraId="6A63350A" w14:textId="77777777" w:rsidTr="00CD5B0E">
        <w:tc>
          <w:tcPr>
            <w:tcW w:w="1838" w:type="dxa"/>
            <w:hideMark/>
          </w:tcPr>
          <w:p w14:paraId="7015AF4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Primax</w:t>
            </w:r>
          </w:p>
        </w:tc>
        <w:tc>
          <w:tcPr>
            <w:tcW w:w="1678" w:type="dxa"/>
            <w:hideMark/>
          </w:tcPr>
          <w:p w14:paraId="0AF3672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0.498</w:t>
            </w:r>
            <w:r w:rsidRPr="00E15DF9">
              <w:rPr>
                <w:rFonts w:cstheme="minorHAnsi"/>
                <w:color w:val="333333"/>
                <w:sz w:val="18"/>
                <w:szCs w:val="18"/>
                <w:vertAlign w:val="superscript"/>
              </w:rPr>
              <w:t>***</w:t>
            </w:r>
            <w:r w:rsidRPr="00E15DF9">
              <w:rPr>
                <w:rFonts w:cstheme="minorHAnsi"/>
                <w:color w:val="333333"/>
                <w:sz w:val="18"/>
                <w:szCs w:val="18"/>
              </w:rPr>
              <w:t> (0.093)</w:t>
            </w:r>
          </w:p>
        </w:tc>
        <w:tc>
          <w:tcPr>
            <w:tcW w:w="0" w:type="auto"/>
            <w:hideMark/>
          </w:tcPr>
          <w:p w14:paraId="36C839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0.535</w:t>
            </w:r>
            <w:r w:rsidRPr="00E15DF9">
              <w:rPr>
                <w:rFonts w:cstheme="minorHAnsi"/>
                <w:color w:val="333333"/>
                <w:sz w:val="18"/>
                <w:szCs w:val="18"/>
                <w:vertAlign w:val="superscript"/>
              </w:rPr>
              <w:t>***</w:t>
            </w:r>
            <w:r w:rsidRPr="00E15DF9">
              <w:rPr>
                <w:rFonts w:cstheme="minorHAnsi"/>
                <w:color w:val="333333"/>
                <w:sz w:val="18"/>
                <w:szCs w:val="18"/>
              </w:rPr>
              <w:t> (0.089)</w:t>
            </w:r>
          </w:p>
        </w:tc>
        <w:tc>
          <w:tcPr>
            <w:tcW w:w="0" w:type="auto"/>
            <w:hideMark/>
          </w:tcPr>
          <w:p w14:paraId="3A53B00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0.630</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379501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0.787</w:t>
            </w:r>
            <w:r w:rsidRPr="00E15DF9">
              <w:rPr>
                <w:rFonts w:cstheme="minorHAnsi"/>
                <w:color w:val="333333"/>
                <w:sz w:val="18"/>
                <w:szCs w:val="18"/>
                <w:vertAlign w:val="superscript"/>
              </w:rPr>
              <w:t>***</w:t>
            </w:r>
            <w:r w:rsidRPr="00E15DF9">
              <w:rPr>
                <w:rFonts w:cstheme="minorHAnsi"/>
                <w:color w:val="333333"/>
                <w:sz w:val="18"/>
                <w:szCs w:val="18"/>
              </w:rPr>
              <w:t> (0.087)</w:t>
            </w:r>
          </w:p>
        </w:tc>
      </w:tr>
      <w:tr w:rsidR="00CD5B0E" w:rsidRPr="00E15DF9" w14:paraId="0E121B75" w14:textId="77777777" w:rsidTr="00CD5B0E">
        <w:tc>
          <w:tcPr>
            <w:tcW w:w="1838" w:type="dxa"/>
            <w:hideMark/>
          </w:tcPr>
          <w:p w14:paraId="7AF6A70E"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Repsol</w:t>
            </w:r>
          </w:p>
        </w:tc>
        <w:tc>
          <w:tcPr>
            <w:tcW w:w="1678" w:type="dxa"/>
            <w:hideMark/>
          </w:tcPr>
          <w:p w14:paraId="6373CF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0.362</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6CFBA8A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0.491</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0D8229C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0.408</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5589446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0.531</w:t>
            </w:r>
            <w:r w:rsidRPr="00E15DF9">
              <w:rPr>
                <w:rFonts w:cstheme="minorHAnsi"/>
                <w:color w:val="333333"/>
                <w:sz w:val="18"/>
                <w:szCs w:val="18"/>
                <w:vertAlign w:val="superscript"/>
              </w:rPr>
              <w:t>***</w:t>
            </w:r>
            <w:r w:rsidRPr="00E15DF9">
              <w:rPr>
                <w:rFonts w:cstheme="minorHAnsi"/>
                <w:color w:val="333333"/>
                <w:sz w:val="18"/>
                <w:szCs w:val="18"/>
              </w:rPr>
              <w:t> (0.076)</w:t>
            </w:r>
          </w:p>
        </w:tc>
      </w:tr>
      <w:tr w:rsidR="00CD5B0E" w:rsidRPr="00E15DF9" w14:paraId="18081E20" w14:textId="77777777" w:rsidTr="00CD5B0E">
        <w:tc>
          <w:tcPr>
            <w:tcW w:w="1838" w:type="dxa"/>
            <w:hideMark/>
          </w:tcPr>
          <w:p w14:paraId="67B40A8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SC</w:t>
            </w:r>
          </w:p>
        </w:tc>
        <w:tc>
          <w:tcPr>
            <w:tcW w:w="1678" w:type="dxa"/>
            <w:hideMark/>
          </w:tcPr>
          <w:p w14:paraId="0104D1A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(0.163)</w:t>
            </w:r>
          </w:p>
        </w:tc>
        <w:tc>
          <w:tcPr>
            <w:tcW w:w="0" w:type="auto"/>
            <w:hideMark/>
          </w:tcPr>
          <w:p w14:paraId="30EAFF9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0.004 (0.156)</w:t>
            </w:r>
          </w:p>
        </w:tc>
        <w:tc>
          <w:tcPr>
            <w:tcW w:w="0" w:type="auto"/>
            <w:hideMark/>
          </w:tcPr>
          <w:p w14:paraId="425CA9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-0.052 (0.086)</w:t>
            </w:r>
          </w:p>
        </w:tc>
        <w:tc>
          <w:tcPr>
            <w:tcW w:w="0" w:type="auto"/>
            <w:hideMark/>
          </w:tcPr>
          <w:p w14:paraId="77D741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-0.059 (0.092)</w:t>
            </w:r>
          </w:p>
        </w:tc>
      </w:tr>
      <w:tr w:rsidR="00CD5B0E" w:rsidRPr="00E15DF9" w14:paraId="0F668280" w14:textId="77777777" w:rsidTr="00CD5B0E">
        <w:tc>
          <w:tcPr>
            <w:tcW w:w="1838" w:type="dxa"/>
            <w:hideMark/>
          </w:tcPr>
          <w:p w14:paraId="0A7877F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DPROM</w:t>
            </w:r>
          </w:p>
        </w:tc>
        <w:tc>
          <w:tcPr>
            <w:tcW w:w="1678" w:type="dxa"/>
            <w:hideMark/>
          </w:tcPr>
          <w:p w14:paraId="4A9FC7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(0.167)</w:t>
            </w:r>
          </w:p>
        </w:tc>
        <w:tc>
          <w:tcPr>
            <w:tcW w:w="0" w:type="auto"/>
            <w:hideMark/>
          </w:tcPr>
          <w:p w14:paraId="6EB65CB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-0.082 (0.160)</w:t>
            </w:r>
          </w:p>
        </w:tc>
        <w:tc>
          <w:tcPr>
            <w:tcW w:w="0" w:type="auto"/>
            <w:hideMark/>
          </w:tcPr>
          <w:p w14:paraId="6510783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0.174 (0.148)</w:t>
            </w:r>
          </w:p>
        </w:tc>
        <w:tc>
          <w:tcPr>
            <w:tcW w:w="0" w:type="auto"/>
            <w:hideMark/>
          </w:tcPr>
          <w:p w14:paraId="43E04FE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0.185 (0.157)</w:t>
            </w:r>
          </w:p>
        </w:tc>
      </w:tr>
      <w:tr w:rsidR="00CD5B0E" w:rsidRPr="00E15DF9" w14:paraId="6C8633F3" w14:textId="77777777" w:rsidTr="00CD5B0E">
        <w:tc>
          <w:tcPr>
            <w:tcW w:w="1838" w:type="dxa"/>
            <w:hideMark/>
          </w:tcPr>
          <w:p w14:paraId="6AA92EB5"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DMIN</w:t>
            </w:r>
          </w:p>
        </w:tc>
        <w:tc>
          <w:tcPr>
            <w:tcW w:w="1678" w:type="dxa"/>
            <w:hideMark/>
          </w:tcPr>
          <w:p w14:paraId="7771B72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0.054 (0.069)</w:t>
            </w:r>
          </w:p>
        </w:tc>
        <w:tc>
          <w:tcPr>
            <w:tcW w:w="0" w:type="auto"/>
            <w:hideMark/>
          </w:tcPr>
          <w:p w14:paraId="608C7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(0.066)</w:t>
            </w:r>
          </w:p>
        </w:tc>
        <w:tc>
          <w:tcPr>
            <w:tcW w:w="0" w:type="auto"/>
            <w:hideMark/>
          </w:tcPr>
          <w:p w14:paraId="08EA6A4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-0.079 (0.061)</w:t>
            </w:r>
          </w:p>
        </w:tc>
        <w:tc>
          <w:tcPr>
            <w:tcW w:w="0" w:type="auto"/>
            <w:hideMark/>
          </w:tcPr>
          <w:p w14:paraId="23FAEDE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-0.139</w:t>
            </w:r>
            <w:r w:rsidRPr="00E15DF9">
              <w:rPr>
                <w:rFonts w:cstheme="minorHAnsi"/>
                <w:color w:val="333333"/>
                <w:sz w:val="18"/>
                <w:szCs w:val="18"/>
                <w:vertAlign w:val="superscript"/>
              </w:rPr>
              <w:t>**</w:t>
            </w:r>
            <w:r w:rsidRPr="00E15DF9">
              <w:rPr>
                <w:rFonts w:cstheme="minorHAnsi"/>
                <w:color w:val="333333"/>
                <w:sz w:val="18"/>
                <w:szCs w:val="18"/>
              </w:rPr>
              <w:t> (0.065)</w:t>
            </w:r>
          </w:p>
        </w:tc>
      </w:tr>
      <w:tr w:rsidR="00CD5B0E" w:rsidRPr="00E15DF9" w14:paraId="411CEBCD" w14:textId="77777777" w:rsidTr="00CD5B0E">
        <w:tc>
          <w:tcPr>
            <w:tcW w:w="1838" w:type="dxa"/>
            <w:hideMark/>
          </w:tcPr>
          <w:p w14:paraId="7383DA7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NCERC</w:t>
            </w:r>
          </w:p>
        </w:tc>
        <w:tc>
          <w:tcPr>
            <w:tcW w:w="1678" w:type="dxa"/>
            <w:hideMark/>
          </w:tcPr>
          <w:p w14:paraId="2461550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-0.011</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4508F91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-0.012</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0448BC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(0.003)</w:t>
            </w:r>
          </w:p>
        </w:tc>
        <w:tc>
          <w:tcPr>
            <w:tcW w:w="0" w:type="auto"/>
            <w:hideMark/>
          </w:tcPr>
          <w:p w14:paraId="757914B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(0.004)</w:t>
            </w:r>
          </w:p>
        </w:tc>
      </w:tr>
      <w:tr w:rsidR="00CD5B0E" w:rsidRPr="00E15DF9" w14:paraId="6D0DB333" w14:textId="77777777" w:rsidTr="00CD5B0E">
        <w:tc>
          <w:tcPr>
            <w:tcW w:w="1838" w:type="dxa"/>
            <w:hideMark/>
          </w:tcPr>
          <w:p w14:paraId="0D8EF53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MECANICO</w:t>
            </w:r>
          </w:p>
        </w:tc>
        <w:tc>
          <w:tcPr>
            <w:tcW w:w="1678" w:type="dxa"/>
            <w:hideMark/>
          </w:tcPr>
          <w:p w14:paraId="4061D50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(0.064)</w:t>
            </w:r>
          </w:p>
        </w:tc>
        <w:tc>
          <w:tcPr>
            <w:tcW w:w="0" w:type="auto"/>
            <w:hideMark/>
          </w:tcPr>
          <w:p w14:paraId="043597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0.053 (0.061)</w:t>
            </w:r>
          </w:p>
        </w:tc>
        <w:tc>
          <w:tcPr>
            <w:tcW w:w="0" w:type="auto"/>
            <w:hideMark/>
          </w:tcPr>
          <w:p w14:paraId="16EEBCB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0.083 (0.056)</w:t>
            </w:r>
          </w:p>
        </w:tc>
        <w:tc>
          <w:tcPr>
            <w:tcW w:w="0" w:type="auto"/>
            <w:hideMark/>
          </w:tcPr>
          <w:p w14:paraId="5FCA403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0.042 (0.060)</w:t>
            </w:r>
          </w:p>
        </w:tc>
      </w:tr>
      <w:tr w:rsidR="00CD5B0E" w:rsidRPr="00E15DF9" w14:paraId="2F39FFC8" w14:textId="77777777" w:rsidTr="00CD5B0E">
        <w:tc>
          <w:tcPr>
            <w:tcW w:w="1838" w:type="dxa"/>
            <w:hideMark/>
          </w:tcPr>
          <w:p w14:paraId="41A0A1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LAVADO</w:t>
            </w:r>
          </w:p>
        </w:tc>
        <w:tc>
          <w:tcPr>
            <w:tcW w:w="1678" w:type="dxa"/>
            <w:hideMark/>
          </w:tcPr>
          <w:p w14:paraId="4A50C90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-0.092 (0.075)</w:t>
            </w:r>
          </w:p>
        </w:tc>
        <w:tc>
          <w:tcPr>
            <w:tcW w:w="0" w:type="auto"/>
            <w:hideMark/>
          </w:tcPr>
          <w:p w14:paraId="183D951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-0.056 (0.071)</w:t>
            </w:r>
          </w:p>
        </w:tc>
        <w:tc>
          <w:tcPr>
            <w:tcW w:w="0" w:type="auto"/>
            <w:hideMark/>
          </w:tcPr>
          <w:p w14:paraId="0D8D9B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-0.072 (0.066)</w:t>
            </w:r>
          </w:p>
        </w:tc>
        <w:tc>
          <w:tcPr>
            <w:tcW w:w="0" w:type="auto"/>
            <w:hideMark/>
          </w:tcPr>
          <w:p w14:paraId="0C8D992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-0.027 (0.070)</w:t>
            </w:r>
          </w:p>
        </w:tc>
      </w:tr>
      <w:tr w:rsidR="00CD5B0E" w:rsidRPr="00E15DF9" w14:paraId="4896681D" w14:textId="77777777" w:rsidTr="00CD5B0E">
        <w:tc>
          <w:tcPr>
            <w:tcW w:w="1838" w:type="dxa"/>
            <w:hideMark/>
          </w:tcPr>
          <w:p w14:paraId="5F166A7B"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CAJERO</w:t>
            </w:r>
          </w:p>
        </w:tc>
        <w:tc>
          <w:tcPr>
            <w:tcW w:w="1678" w:type="dxa"/>
            <w:hideMark/>
          </w:tcPr>
          <w:p w14:paraId="79FFCDD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0.063 (0.053)</w:t>
            </w:r>
          </w:p>
        </w:tc>
        <w:tc>
          <w:tcPr>
            <w:tcW w:w="0" w:type="auto"/>
            <w:hideMark/>
          </w:tcPr>
          <w:p w14:paraId="6587C2A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0.098</w:t>
            </w:r>
            <w:r w:rsidRPr="00E15DF9">
              <w:rPr>
                <w:rFonts w:cstheme="minorHAnsi"/>
                <w:color w:val="333333"/>
                <w:sz w:val="18"/>
                <w:szCs w:val="18"/>
                <w:vertAlign w:val="superscript"/>
              </w:rPr>
              <w:t>*</w:t>
            </w:r>
            <w:r w:rsidRPr="00E15DF9">
              <w:rPr>
                <w:rFonts w:cstheme="minorHAnsi"/>
                <w:color w:val="333333"/>
                <w:sz w:val="18"/>
                <w:szCs w:val="18"/>
              </w:rPr>
              <w:t> (0.051)</w:t>
            </w:r>
          </w:p>
        </w:tc>
        <w:tc>
          <w:tcPr>
            <w:tcW w:w="0" w:type="auto"/>
            <w:hideMark/>
          </w:tcPr>
          <w:p w14:paraId="2443B16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(0.047)</w:t>
            </w:r>
          </w:p>
        </w:tc>
        <w:tc>
          <w:tcPr>
            <w:tcW w:w="0" w:type="auto"/>
            <w:hideMark/>
          </w:tcPr>
          <w:p w14:paraId="53FA68E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0.090</w:t>
            </w:r>
            <w:r w:rsidRPr="00E15DF9">
              <w:rPr>
                <w:rFonts w:cstheme="minorHAnsi"/>
                <w:color w:val="333333"/>
                <w:sz w:val="18"/>
                <w:szCs w:val="18"/>
                <w:vertAlign w:val="superscript"/>
              </w:rPr>
              <w:t>*</w:t>
            </w:r>
            <w:r w:rsidRPr="00E15DF9">
              <w:rPr>
                <w:rFonts w:cstheme="minorHAnsi"/>
                <w:color w:val="333333"/>
                <w:sz w:val="18"/>
                <w:szCs w:val="18"/>
              </w:rPr>
              <w:t> (0.050)</w:t>
            </w:r>
          </w:p>
        </w:tc>
      </w:tr>
      <w:tr w:rsidR="00CD5B0E" w:rsidRPr="00E15DF9" w14:paraId="2AEA8589" w14:textId="77777777" w:rsidTr="00CD5B0E">
        <w:tc>
          <w:tcPr>
            <w:tcW w:w="1838" w:type="dxa"/>
            <w:hideMark/>
          </w:tcPr>
          <w:p w14:paraId="4D24FB5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GNV</w:t>
            </w:r>
          </w:p>
        </w:tc>
        <w:tc>
          <w:tcPr>
            <w:tcW w:w="1678" w:type="dxa"/>
            <w:hideMark/>
          </w:tcPr>
          <w:p w14:paraId="1ECB64D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-0.131</w:t>
            </w:r>
            <w:r w:rsidRPr="00E15DF9">
              <w:rPr>
                <w:rFonts w:cstheme="minorHAnsi"/>
                <w:color w:val="333333"/>
                <w:sz w:val="18"/>
                <w:szCs w:val="18"/>
                <w:vertAlign w:val="superscript"/>
              </w:rPr>
              <w:t>**</w:t>
            </w:r>
            <w:r w:rsidRPr="00E15DF9">
              <w:rPr>
                <w:rFonts w:cstheme="minorHAnsi"/>
                <w:color w:val="333333"/>
                <w:sz w:val="18"/>
                <w:szCs w:val="18"/>
              </w:rPr>
              <w:t> (0.055)</w:t>
            </w:r>
          </w:p>
        </w:tc>
        <w:tc>
          <w:tcPr>
            <w:tcW w:w="0" w:type="auto"/>
            <w:hideMark/>
          </w:tcPr>
          <w:p w14:paraId="7BE962D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-0.006 (0.052)</w:t>
            </w:r>
          </w:p>
        </w:tc>
        <w:tc>
          <w:tcPr>
            <w:tcW w:w="0" w:type="auto"/>
            <w:hideMark/>
          </w:tcPr>
          <w:p w14:paraId="4381321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(0.048)</w:t>
            </w:r>
          </w:p>
        </w:tc>
        <w:tc>
          <w:tcPr>
            <w:tcW w:w="0" w:type="auto"/>
            <w:hideMark/>
          </w:tcPr>
          <w:p w14:paraId="4E6C46F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(0.051)</w:t>
            </w:r>
          </w:p>
        </w:tc>
      </w:tr>
      <w:tr w:rsidR="00CD5B0E" w:rsidRPr="00E15DF9" w14:paraId="2C432DB5" w14:textId="77777777" w:rsidTr="00CD5B0E">
        <w:tc>
          <w:tcPr>
            <w:tcW w:w="1838" w:type="dxa"/>
            <w:hideMark/>
          </w:tcPr>
          <w:p w14:paraId="0211A78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GLP</w:t>
            </w:r>
          </w:p>
        </w:tc>
        <w:tc>
          <w:tcPr>
            <w:tcW w:w="1678" w:type="dxa"/>
            <w:hideMark/>
          </w:tcPr>
          <w:p w14:paraId="7A546F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 (0.053)</w:t>
            </w:r>
          </w:p>
        </w:tc>
        <w:tc>
          <w:tcPr>
            <w:tcW w:w="0" w:type="auto"/>
            <w:hideMark/>
          </w:tcPr>
          <w:p w14:paraId="1445BD8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-0.030 (0.051)</w:t>
            </w:r>
          </w:p>
        </w:tc>
        <w:tc>
          <w:tcPr>
            <w:tcW w:w="0" w:type="auto"/>
            <w:hideMark/>
          </w:tcPr>
          <w:p w14:paraId="528551A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-0.026 (0.047)</w:t>
            </w:r>
          </w:p>
        </w:tc>
        <w:tc>
          <w:tcPr>
            <w:tcW w:w="0" w:type="auto"/>
            <w:hideMark/>
          </w:tcPr>
          <w:p w14:paraId="5F99D9B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(0.050)</w:t>
            </w:r>
          </w:p>
        </w:tc>
      </w:tr>
      <w:tr w:rsidR="00CD5B0E" w:rsidRPr="00E15DF9" w14:paraId="60E908E0" w14:textId="77777777" w:rsidTr="00CD5B0E">
        <w:tc>
          <w:tcPr>
            <w:tcW w:w="1838" w:type="dxa"/>
            <w:hideMark/>
          </w:tcPr>
          <w:p w14:paraId="283D50D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INGRESO</w:t>
            </w:r>
          </w:p>
        </w:tc>
        <w:tc>
          <w:tcPr>
            <w:tcW w:w="1678" w:type="dxa"/>
            <w:hideMark/>
          </w:tcPr>
          <w:p w14:paraId="535445D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1.057</w:t>
            </w:r>
            <w:r w:rsidRPr="00E15DF9">
              <w:rPr>
                <w:rFonts w:cstheme="minorHAnsi"/>
                <w:color w:val="333333"/>
                <w:sz w:val="18"/>
                <w:szCs w:val="18"/>
                <w:vertAlign w:val="superscript"/>
              </w:rPr>
              <w:t>***</w:t>
            </w:r>
            <w:r w:rsidRPr="00E15DF9">
              <w:rPr>
                <w:rFonts w:cstheme="minorHAnsi"/>
                <w:color w:val="333333"/>
                <w:sz w:val="18"/>
                <w:szCs w:val="18"/>
              </w:rPr>
              <w:t> (0.128)</w:t>
            </w:r>
          </w:p>
        </w:tc>
        <w:tc>
          <w:tcPr>
            <w:tcW w:w="0" w:type="auto"/>
            <w:hideMark/>
          </w:tcPr>
          <w:p w14:paraId="63091A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1.042</w:t>
            </w:r>
            <w:r w:rsidRPr="00E15DF9">
              <w:rPr>
                <w:rFonts w:cstheme="minorHAnsi"/>
                <w:color w:val="333333"/>
                <w:sz w:val="18"/>
                <w:szCs w:val="18"/>
                <w:vertAlign w:val="superscript"/>
              </w:rPr>
              <w:t>***</w:t>
            </w:r>
            <w:r w:rsidRPr="00E15DF9">
              <w:rPr>
                <w:rFonts w:cstheme="minorHAnsi"/>
                <w:color w:val="333333"/>
                <w:sz w:val="18"/>
                <w:szCs w:val="18"/>
              </w:rPr>
              <w:t> (0.122)</w:t>
            </w:r>
          </w:p>
        </w:tc>
        <w:tc>
          <w:tcPr>
            <w:tcW w:w="0" w:type="auto"/>
            <w:hideMark/>
          </w:tcPr>
          <w:p w14:paraId="6F5363E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0.969</w:t>
            </w:r>
            <w:r w:rsidRPr="00E15DF9">
              <w:rPr>
                <w:rFonts w:cstheme="minorHAnsi"/>
                <w:color w:val="333333"/>
                <w:sz w:val="18"/>
                <w:szCs w:val="18"/>
                <w:vertAlign w:val="superscript"/>
              </w:rPr>
              <w:t>***</w:t>
            </w:r>
            <w:r w:rsidRPr="00E15DF9">
              <w:rPr>
                <w:rFonts w:cstheme="minorHAnsi"/>
                <w:color w:val="333333"/>
                <w:sz w:val="18"/>
                <w:szCs w:val="18"/>
              </w:rPr>
              <w:t> (0.116)</w:t>
            </w:r>
          </w:p>
        </w:tc>
        <w:tc>
          <w:tcPr>
            <w:tcW w:w="0" w:type="auto"/>
            <w:hideMark/>
          </w:tcPr>
          <w:p w14:paraId="6D2C8B4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0.954</w:t>
            </w:r>
            <w:r w:rsidRPr="00E15DF9">
              <w:rPr>
                <w:rFonts w:cstheme="minorHAnsi"/>
                <w:color w:val="333333"/>
                <w:sz w:val="18"/>
                <w:szCs w:val="18"/>
                <w:vertAlign w:val="superscript"/>
              </w:rPr>
              <w:t>***</w:t>
            </w:r>
            <w:r w:rsidRPr="00E15DF9">
              <w:rPr>
                <w:rFonts w:cstheme="minorHAnsi"/>
                <w:color w:val="333333"/>
                <w:sz w:val="18"/>
                <w:szCs w:val="18"/>
              </w:rPr>
              <w:t> (0.123)</w:t>
            </w:r>
          </w:p>
        </w:tc>
      </w:tr>
      <w:tr w:rsidR="00CD5B0E" w:rsidRPr="00E15DF9" w14:paraId="64C429D1" w14:textId="77777777" w:rsidTr="00CD5B0E">
        <w:tc>
          <w:tcPr>
            <w:tcW w:w="1838" w:type="dxa"/>
            <w:hideMark/>
          </w:tcPr>
          <w:p w14:paraId="6706559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DENPOB</w:t>
            </w:r>
          </w:p>
        </w:tc>
        <w:tc>
          <w:tcPr>
            <w:tcW w:w="1678" w:type="dxa"/>
            <w:hideMark/>
          </w:tcPr>
          <w:p w14:paraId="790F328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711BA8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E2EDA3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c>
          <w:tcPr>
            <w:tcW w:w="0" w:type="auto"/>
            <w:hideMark/>
          </w:tcPr>
          <w:p w14:paraId="46772B4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r>
      <w:tr w:rsidR="00CD5B0E" w:rsidRPr="00E15DF9" w14:paraId="70AE6F31" w14:textId="77777777" w:rsidTr="00CD5B0E">
        <w:tc>
          <w:tcPr>
            <w:tcW w:w="1838" w:type="dxa"/>
            <w:hideMark/>
          </w:tcPr>
          <w:p w14:paraId="54852DC3" w14:textId="0230EE5F"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Constant</w:t>
            </w:r>
            <w:r w:rsidR="00EB4D69" w:rsidRPr="00EB4D69">
              <w:rPr>
                <w:rFonts w:cstheme="minorHAnsi"/>
                <w:color w:val="333333"/>
                <w:sz w:val="18"/>
                <w:szCs w:val="18"/>
              </w:rPr>
              <w:t>e</w:t>
            </w:r>
          </w:p>
        </w:tc>
        <w:tc>
          <w:tcPr>
            <w:tcW w:w="1678" w:type="dxa"/>
            <w:hideMark/>
          </w:tcPr>
          <w:p w14:paraId="14396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8.912</w:t>
            </w:r>
            <w:r w:rsidRPr="00E15DF9">
              <w:rPr>
                <w:rFonts w:cstheme="minorHAnsi"/>
                <w:color w:val="333333"/>
                <w:sz w:val="18"/>
                <w:szCs w:val="18"/>
                <w:vertAlign w:val="superscript"/>
              </w:rPr>
              <w:t>***</w:t>
            </w:r>
            <w:r w:rsidRPr="00E15DF9">
              <w:rPr>
                <w:rFonts w:cstheme="minorHAnsi"/>
                <w:color w:val="333333"/>
                <w:sz w:val="18"/>
                <w:szCs w:val="18"/>
              </w:rPr>
              <w:t> (0.198)</w:t>
            </w:r>
          </w:p>
        </w:tc>
        <w:tc>
          <w:tcPr>
            <w:tcW w:w="0" w:type="auto"/>
            <w:hideMark/>
          </w:tcPr>
          <w:p w14:paraId="7A5D7E7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9.411</w:t>
            </w:r>
            <w:r w:rsidRPr="00E15DF9">
              <w:rPr>
                <w:rFonts w:cstheme="minorHAnsi"/>
                <w:color w:val="333333"/>
                <w:sz w:val="18"/>
                <w:szCs w:val="18"/>
                <w:vertAlign w:val="superscript"/>
              </w:rPr>
              <w:t>***</w:t>
            </w:r>
            <w:r w:rsidRPr="00E15DF9">
              <w:rPr>
                <w:rFonts w:cstheme="minorHAnsi"/>
                <w:color w:val="333333"/>
                <w:sz w:val="18"/>
                <w:szCs w:val="18"/>
              </w:rPr>
              <w:t> (0.188)</w:t>
            </w:r>
          </w:p>
        </w:tc>
        <w:tc>
          <w:tcPr>
            <w:tcW w:w="0" w:type="auto"/>
            <w:hideMark/>
          </w:tcPr>
          <w:p w14:paraId="6FC8EDE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10.093</w:t>
            </w:r>
            <w:r w:rsidRPr="00E15DF9">
              <w:rPr>
                <w:rFonts w:cstheme="minorHAnsi"/>
                <w:color w:val="333333"/>
                <w:sz w:val="18"/>
                <w:szCs w:val="18"/>
                <w:vertAlign w:val="superscript"/>
              </w:rPr>
              <w:t>***</w:t>
            </w:r>
            <w:r w:rsidRPr="00E15DF9">
              <w:rPr>
                <w:rFonts w:cstheme="minorHAnsi"/>
                <w:color w:val="333333"/>
                <w:sz w:val="18"/>
                <w:szCs w:val="18"/>
              </w:rPr>
              <w:t> (0.175)</w:t>
            </w:r>
          </w:p>
        </w:tc>
        <w:tc>
          <w:tcPr>
            <w:tcW w:w="0" w:type="auto"/>
            <w:hideMark/>
          </w:tcPr>
          <w:p w14:paraId="0A5B6E9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10.924</w:t>
            </w:r>
            <w:r w:rsidRPr="00E15DF9">
              <w:rPr>
                <w:rFonts w:cstheme="minorHAnsi"/>
                <w:color w:val="333333"/>
                <w:sz w:val="18"/>
                <w:szCs w:val="18"/>
                <w:vertAlign w:val="superscript"/>
              </w:rPr>
              <w:t>***</w:t>
            </w:r>
            <w:r w:rsidRPr="00E15DF9">
              <w:rPr>
                <w:rFonts w:cstheme="minorHAnsi"/>
                <w:color w:val="333333"/>
                <w:sz w:val="18"/>
                <w:szCs w:val="18"/>
              </w:rPr>
              <w:t> (0.185)</w:t>
            </w:r>
          </w:p>
        </w:tc>
      </w:tr>
      <w:tr w:rsidR="00E15DF9" w:rsidRPr="00E15DF9" w14:paraId="094C2CF9" w14:textId="77777777" w:rsidTr="00CD5B0E">
        <w:trPr>
          <w:gridAfter w:val="4"/>
          <w:wAfter w:w="7195" w:type="dxa"/>
        </w:trPr>
        <w:tc>
          <w:tcPr>
            <w:tcW w:w="1838" w:type="dxa"/>
            <w:hideMark/>
          </w:tcPr>
          <w:p w14:paraId="6EECB0EB" w14:textId="77777777" w:rsidR="00E15DF9" w:rsidRPr="00E15DF9" w:rsidRDefault="00E15DF9" w:rsidP="00E15DF9">
            <w:pPr>
              <w:spacing w:after="0" w:line="240" w:lineRule="auto"/>
              <w:jc w:val="center"/>
              <w:rPr>
                <w:rFonts w:cstheme="minorHAnsi"/>
                <w:color w:val="333333"/>
                <w:sz w:val="18"/>
                <w:szCs w:val="18"/>
              </w:rPr>
            </w:pPr>
          </w:p>
        </w:tc>
      </w:tr>
      <w:tr w:rsidR="00CD5B0E" w:rsidRPr="00E15DF9" w14:paraId="0E05A3A2" w14:textId="77777777" w:rsidTr="00CD5B0E">
        <w:tc>
          <w:tcPr>
            <w:tcW w:w="1838" w:type="dxa"/>
            <w:hideMark/>
          </w:tcPr>
          <w:p w14:paraId="4A65FAD6" w14:textId="79860BB5" w:rsidR="00E15DF9" w:rsidRPr="00E15DF9" w:rsidRDefault="00EB4D69" w:rsidP="00E15DF9">
            <w:pPr>
              <w:spacing w:after="0" w:line="240" w:lineRule="auto"/>
              <w:jc w:val="left"/>
              <w:rPr>
                <w:rFonts w:cstheme="minorHAnsi"/>
                <w:color w:val="333333"/>
                <w:sz w:val="18"/>
                <w:szCs w:val="18"/>
              </w:rPr>
            </w:pPr>
            <w:r w:rsidRPr="00EB4D69">
              <w:rPr>
                <w:rFonts w:cstheme="minorHAnsi"/>
                <w:color w:val="333333"/>
                <w:sz w:val="18"/>
                <w:szCs w:val="18"/>
              </w:rPr>
              <w:t>Observaciones</w:t>
            </w:r>
          </w:p>
        </w:tc>
        <w:tc>
          <w:tcPr>
            <w:tcW w:w="1678" w:type="dxa"/>
            <w:hideMark/>
          </w:tcPr>
          <w:p w14:paraId="4554CE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430</w:t>
            </w:r>
          </w:p>
        </w:tc>
        <w:tc>
          <w:tcPr>
            <w:tcW w:w="0" w:type="auto"/>
            <w:hideMark/>
          </w:tcPr>
          <w:p w14:paraId="617AD1F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432</w:t>
            </w:r>
          </w:p>
        </w:tc>
        <w:tc>
          <w:tcPr>
            <w:tcW w:w="0" w:type="auto"/>
            <w:hideMark/>
          </w:tcPr>
          <w:p w14:paraId="3FD5A5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434</w:t>
            </w:r>
          </w:p>
        </w:tc>
        <w:tc>
          <w:tcPr>
            <w:tcW w:w="0" w:type="auto"/>
            <w:hideMark/>
          </w:tcPr>
          <w:p w14:paraId="023A34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436</w:t>
            </w:r>
          </w:p>
        </w:tc>
      </w:tr>
      <w:tr w:rsidR="00CD5B0E" w:rsidRPr="00E15DF9" w14:paraId="686E4A99" w14:textId="77777777" w:rsidTr="00CD5B0E">
        <w:tc>
          <w:tcPr>
            <w:tcW w:w="1838" w:type="dxa"/>
            <w:hideMark/>
          </w:tcPr>
          <w:p w14:paraId="09632C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p>
        </w:tc>
        <w:tc>
          <w:tcPr>
            <w:tcW w:w="1678" w:type="dxa"/>
            <w:hideMark/>
          </w:tcPr>
          <w:p w14:paraId="3C9F153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0.357</w:t>
            </w:r>
          </w:p>
        </w:tc>
        <w:tc>
          <w:tcPr>
            <w:tcW w:w="0" w:type="auto"/>
            <w:hideMark/>
          </w:tcPr>
          <w:p w14:paraId="3DFECF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0.425</w:t>
            </w:r>
          </w:p>
        </w:tc>
        <w:tc>
          <w:tcPr>
            <w:tcW w:w="0" w:type="auto"/>
            <w:hideMark/>
          </w:tcPr>
          <w:p w14:paraId="7375E07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0.461</w:t>
            </w:r>
          </w:p>
        </w:tc>
        <w:tc>
          <w:tcPr>
            <w:tcW w:w="0" w:type="auto"/>
            <w:hideMark/>
          </w:tcPr>
          <w:p w14:paraId="0C31AA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0.476</w:t>
            </w:r>
          </w:p>
        </w:tc>
      </w:tr>
      <w:tr w:rsidR="00CD5B0E" w:rsidRPr="00E15DF9" w14:paraId="66CAF12A" w14:textId="77777777" w:rsidTr="00CD5B0E">
        <w:tc>
          <w:tcPr>
            <w:tcW w:w="1838" w:type="dxa"/>
            <w:hideMark/>
          </w:tcPr>
          <w:p w14:paraId="6A30CAE9" w14:textId="6B5F2449"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r w:rsidR="00CD5B0E">
              <w:rPr>
                <w:rFonts w:cstheme="minorHAnsi"/>
                <w:color w:val="333333"/>
                <w:sz w:val="18"/>
                <w:szCs w:val="18"/>
                <w:vertAlign w:val="superscript"/>
              </w:rPr>
              <w:t xml:space="preserve"> </w:t>
            </w:r>
            <w:r w:rsidR="00CD5B0E">
              <w:rPr>
                <w:rFonts w:cstheme="minorHAnsi"/>
                <w:color w:val="333333"/>
                <w:sz w:val="18"/>
                <w:szCs w:val="18"/>
              </w:rPr>
              <w:t>ajustado</w:t>
            </w:r>
          </w:p>
        </w:tc>
        <w:tc>
          <w:tcPr>
            <w:tcW w:w="1678" w:type="dxa"/>
            <w:hideMark/>
          </w:tcPr>
          <w:p w14:paraId="6CE54C1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0.329</w:t>
            </w:r>
          </w:p>
        </w:tc>
        <w:tc>
          <w:tcPr>
            <w:tcW w:w="0" w:type="auto"/>
            <w:hideMark/>
          </w:tcPr>
          <w:p w14:paraId="33A533C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0.400</w:t>
            </w:r>
          </w:p>
        </w:tc>
        <w:tc>
          <w:tcPr>
            <w:tcW w:w="0" w:type="auto"/>
            <w:hideMark/>
          </w:tcPr>
          <w:p w14:paraId="63C0F55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0.437</w:t>
            </w:r>
          </w:p>
        </w:tc>
        <w:tc>
          <w:tcPr>
            <w:tcW w:w="0" w:type="auto"/>
            <w:hideMark/>
          </w:tcPr>
          <w:p w14:paraId="7C9121C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0.454</w:t>
            </w:r>
          </w:p>
        </w:tc>
      </w:tr>
      <w:tr w:rsidR="00CD5B0E" w:rsidRPr="00E15DF9" w14:paraId="19021EC3" w14:textId="77777777" w:rsidTr="00CD5B0E">
        <w:tc>
          <w:tcPr>
            <w:tcW w:w="1838" w:type="dxa"/>
            <w:hideMark/>
          </w:tcPr>
          <w:p w14:paraId="2BD76C91" w14:textId="5FB9A706" w:rsidR="00E15DF9" w:rsidRPr="00E15DF9" w:rsidRDefault="00CD5B0E" w:rsidP="00CD5B0E">
            <w:pPr>
              <w:spacing w:after="0" w:line="240" w:lineRule="auto"/>
              <w:jc w:val="left"/>
              <w:rPr>
                <w:rFonts w:cstheme="minorHAnsi"/>
                <w:color w:val="333333"/>
                <w:sz w:val="18"/>
                <w:szCs w:val="18"/>
              </w:rPr>
            </w:pPr>
            <w:r>
              <w:rPr>
                <w:rFonts w:cstheme="minorHAnsi"/>
                <w:color w:val="333333"/>
                <w:sz w:val="18"/>
                <w:szCs w:val="18"/>
              </w:rPr>
              <w:t xml:space="preserve">Estadístico </w:t>
            </w:r>
            <w:r w:rsidR="00E15DF9" w:rsidRPr="00E15DF9">
              <w:rPr>
                <w:rFonts w:cstheme="minorHAnsi"/>
                <w:color w:val="333333"/>
                <w:sz w:val="18"/>
                <w:szCs w:val="18"/>
              </w:rPr>
              <w:t xml:space="preserve">F </w:t>
            </w:r>
          </w:p>
        </w:tc>
        <w:tc>
          <w:tcPr>
            <w:tcW w:w="1678" w:type="dxa"/>
            <w:hideMark/>
          </w:tcPr>
          <w:p w14:paraId="026CD08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12.689</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411)</w:t>
            </w:r>
          </w:p>
        </w:tc>
        <w:tc>
          <w:tcPr>
            <w:tcW w:w="0" w:type="auto"/>
            <w:hideMark/>
          </w:tcPr>
          <w:p w14:paraId="238829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16.940</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413)</w:t>
            </w:r>
          </w:p>
        </w:tc>
        <w:tc>
          <w:tcPr>
            <w:tcW w:w="0" w:type="auto"/>
            <w:hideMark/>
          </w:tcPr>
          <w:p w14:paraId="39B1B88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19.702</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415)</w:t>
            </w:r>
          </w:p>
        </w:tc>
        <w:tc>
          <w:tcPr>
            <w:tcW w:w="0" w:type="auto"/>
            <w:hideMark/>
          </w:tcPr>
          <w:p w14:paraId="7200852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21.060</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417)</w:t>
            </w:r>
          </w:p>
        </w:tc>
      </w:tr>
      <w:tr w:rsidR="008D2E84" w:rsidRPr="00E15DF9" w14:paraId="04BA40FE" w14:textId="77777777" w:rsidTr="00CD5B0E">
        <w:tc>
          <w:tcPr>
            <w:tcW w:w="1838" w:type="dxa"/>
          </w:tcPr>
          <w:p w14:paraId="58214341"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r>
              <w:rPr>
                <w:rFonts w:cstheme="minorHAnsi"/>
                <w:color w:val="333333"/>
                <w:sz w:val="18"/>
                <w:szCs w:val="18"/>
                <w:lang w:val="es-ES"/>
              </w:rPr>
              <w:t xml:space="preserve"> </w:t>
            </w:r>
          </w:p>
          <w:p w14:paraId="26B6B4D2"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 xml:space="preserve">Modelo </w:t>
            </w:r>
            <w:r>
              <w:rPr>
                <w:rFonts w:cstheme="minorHAnsi"/>
                <w:color w:val="333333"/>
                <w:sz w:val="18"/>
                <w:szCs w:val="18"/>
                <w:lang w:val="es-ES"/>
              </w:rPr>
              <w:t xml:space="preserve">errores </w:t>
            </w:r>
          </w:p>
          <w:p w14:paraId="4322F046" w14:textId="795AAD49" w:rsidR="008D2E84"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[valor p]</w:t>
            </w:r>
          </w:p>
        </w:tc>
        <w:tc>
          <w:tcPr>
            <w:tcW w:w="1678" w:type="dxa"/>
          </w:tcPr>
          <w:p w14:paraId="2E6892A9" w14:textId="4308B276" w:rsidR="008D2E84" w:rsidRPr="00E15DF9" w:rsidRDefault="008D2E84" w:rsidP="00CD5B0E">
            <w:pPr>
              <w:spacing w:after="0" w:line="240" w:lineRule="auto"/>
              <w:jc w:val="center"/>
              <w:rPr>
                <w:rFonts w:cstheme="minorHAnsi"/>
                <w:color w:val="333333"/>
                <w:sz w:val="18"/>
                <w:szCs w:val="18"/>
              </w:rPr>
            </w:pPr>
            <w:r>
              <w:rPr>
                <w:rFonts w:cstheme="minorHAnsi"/>
                <w:color w:val="333333"/>
                <w:sz w:val="18"/>
                <w:szCs w:val="18"/>
              </w:rPr>
              <w:t>2.76</w:t>
            </w:r>
            <w:r w:rsidR="00CD5B0E">
              <w:rPr>
                <w:rFonts w:cstheme="minorHAnsi"/>
                <w:color w:val="333333"/>
                <w:sz w:val="18"/>
                <w:szCs w:val="18"/>
              </w:rPr>
              <w:t xml:space="preserve"> [</w:t>
            </w:r>
            <w:r>
              <w:rPr>
                <w:rFonts w:cstheme="minorHAnsi"/>
                <w:color w:val="333333"/>
                <w:sz w:val="18"/>
                <w:szCs w:val="18"/>
              </w:rPr>
              <w:t>0.096</w:t>
            </w:r>
            <w:r w:rsidR="00CD5B0E">
              <w:rPr>
                <w:rFonts w:cstheme="minorHAnsi"/>
                <w:color w:val="333333"/>
                <w:sz w:val="18"/>
                <w:szCs w:val="18"/>
              </w:rPr>
              <w:t>]</w:t>
            </w:r>
          </w:p>
        </w:tc>
        <w:tc>
          <w:tcPr>
            <w:tcW w:w="0" w:type="auto"/>
          </w:tcPr>
          <w:p w14:paraId="7CCF2014" w14:textId="205223A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1.23 (0.268)</w:t>
            </w:r>
          </w:p>
        </w:tc>
        <w:tc>
          <w:tcPr>
            <w:tcW w:w="0" w:type="auto"/>
          </w:tcPr>
          <w:p w14:paraId="310E926F" w14:textId="75CE5664"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0.000 (</w:t>
            </w:r>
            <w:r w:rsidR="00CD5B0E">
              <w:rPr>
                <w:rFonts w:cstheme="minorHAnsi"/>
                <w:color w:val="333333"/>
                <w:sz w:val="18"/>
                <w:szCs w:val="18"/>
              </w:rPr>
              <w:t>0.989</w:t>
            </w:r>
            <w:r>
              <w:rPr>
                <w:rFonts w:cstheme="minorHAnsi"/>
                <w:color w:val="333333"/>
                <w:sz w:val="18"/>
                <w:szCs w:val="18"/>
              </w:rPr>
              <w:t>)</w:t>
            </w:r>
          </w:p>
        </w:tc>
        <w:tc>
          <w:tcPr>
            <w:tcW w:w="0" w:type="auto"/>
          </w:tcPr>
          <w:p w14:paraId="171466D9" w14:textId="6369B14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 xml:space="preserve">0.304 </w:t>
            </w:r>
            <w:r w:rsidR="00CD5B0E">
              <w:rPr>
                <w:rFonts w:cstheme="minorHAnsi"/>
                <w:color w:val="333333"/>
                <w:sz w:val="18"/>
                <w:szCs w:val="18"/>
              </w:rPr>
              <w:t xml:space="preserve"> (0.581)</w:t>
            </w:r>
          </w:p>
        </w:tc>
      </w:tr>
      <w:tr w:rsidR="00CD5B0E" w:rsidRPr="00E15DF9" w14:paraId="0F583BDB" w14:textId="77777777" w:rsidTr="00CD5B0E">
        <w:tc>
          <w:tcPr>
            <w:tcW w:w="1838" w:type="dxa"/>
          </w:tcPr>
          <w:p w14:paraId="6BB2857E" w14:textId="77777777" w:rsidR="00CD5B0E"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p>
          <w:p w14:paraId="5E773894" w14:textId="50F1728C" w:rsidR="00CD5B0E" w:rsidRPr="008D2E84" w:rsidRDefault="00CD5B0E" w:rsidP="00CD5B0E">
            <w:pPr>
              <w:spacing w:after="0" w:line="240" w:lineRule="auto"/>
              <w:jc w:val="left"/>
              <w:rPr>
                <w:rFonts w:cstheme="minorHAnsi"/>
                <w:color w:val="333333"/>
                <w:sz w:val="18"/>
                <w:szCs w:val="18"/>
              </w:rPr>
            </w:pPr>
            <w:r w:rsidRPr="00CD5B0E">
              <w:rPr>
                <w:rFonts w:cstheme="minorHAnsi"/>
                <w:color w:val="333333"/>
                <w:sz w:val="18"/>
                <w:szCs w:val="18"/>
                <w:lang w:val="es-ES"/>
              </w:rPr>
              <w:t xml:space="preserve">Modelo </w:t>
            </w:r>
            <w:r>
              <w:rPr>
                <w:rFonts w:cstheme="minorHAnsi"/>
                <w:color w:val="333333"/>
                <w:sz w:val="18"/>
                <w:szCs w:val="18"/>
                <w:lang w:val="es-ES"/>
              </w:rPr>
              <w:t xml:space="preserve">autoregresivo </w:t>
            </w:r>
            <w:r w:rsidRPr="00CD5B0E">
              <w:rPr>
                <w:rFonts w:cstheme="minorHAnsi"/>
                <w:color w:val="333333"/>
                <w:sz w:val="18"/>
                <w:szCs w:val="18"/>
                <w:lang w:val="es-ES"/>
              </w:rPr>
              <w:t>[valor p]</w:t>
            </w:r>
          </w:p>
        </w:tc>
        <w:tc>
          <w:tcPr>
            <w:tcW w:w="1678" w:type="dxa"/>
          </w:tcPr>
          <w:p w14:paraId="1EC26AB2" w14:textId="3E9B67C4"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35.146</w:t>
            </w:r>
            <w:r w:rsidRPr="00E15DF9">
              <w:rPr>
                <w:rFonts w:cstheme="minorHAnsi"/>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2383FBD8" w14:textId="79C3F4EE"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28.016</w:t>
            </w:r>
            <w:r w:rsidRPr="00E15DF9">
              <w:rPr>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19614465" w14:textId="3D683370" w:rsidR="00CD5B0E" w:rsidRPr="00CD5B0E" w:rsidRDefault="00CD5B0E" w:rsidP="00CD5B0E">
            <w:pPr>
              <w:spacing w:after="0" w:line="240" w:lineRule="auto"/>
              <w:jc w:val="center"/>
              <w:rPr>
                <w:rFonts w:cstheme="minorHAnsi"/>
                <w:color w:val="333333"/>
                <w:sz w:val="18"/>
                <w:szCs w:val="18"/>
              </w:rPr>
            </w:pPr>
            <w:r>
              <w:rPr>
                <w:rFonts w:cstheme="minorHAnsi"/>
                <w:color w:val="333333"/>
                <w:sz w:val="18"/>
                <w:szCs w:val="18"/>
              </w:rPr>
              <w:t>29.998</w:t>
            </w:r>
            <w:r w:rsidRPr="00E15DF9">
              <w:rPr>
                <w:color w:val="333333"/>
                <w:sz w:val="18"/>
                <w:szCs w:val="18"/>
                <w:vertAlign w:val="superscript"/>
              </w:rPr>
              <w:t>***</w:t>
            </w:r>
            <w:r>
              <w:rPr>
                <w:rFonts w:cstheme="minorHAnsi"/>
                <w:color w:val="333333"/>
                <w:sz w:val="18"/>
                <w:szCs w:val="18"/>
              </w:rPr>
              <w:t xml:space="preserve"> [0.00000]</w:t>
            </w:r>
          </w:p>
        </w:tc>
        <w:tc>
          <w:tcPr>
            <w:tcW w:w="0" w:type="auto"/>
          </w:tcPr>
          <w:p w14:paraId="43898FA3" w14:textId="6E9957B3"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28.077</w:t>
            </w:r>
            <w:r w:rsidRPr="00E15DF9">
              <w:rPr>
                <w:color w:val="333333"/>
                <w:sz w:val="18"/>
                <w:szCs w:val="18"/>
                <w:vertAlign w:val="superscript"/>
              </w:rPr>
              <w:t>***</w:t>
            </w:r>
            <w:r>
              <w:rPr>
                <w:color w:val="333333"/>
                <w:sz w:val="18"/>
                <w:szCs w:val="18"/>
              </w:rPr>
              <w:t>[</w:t>
            </w:r>
            <w:r w:rsidRPr="00E15DF9">
              <w:rPr>
                <w:color w:val="333333"/>
                <w:sz w:val="18"/>
                <w:szCs w:val="18"/>
              </w:rPr>
              <w:t>0.00000</w:t>
            </w:r>
            <w:r>
              <w:rPr>
                <w:color w:val="333333"/>
                <w:sz w:val="18"/>
                <w:szCs w:val="18"/>
              </w:rPr>
              <w:t>]</w:t>
            </w:r>
          </w:p>
        </w:tc>
      </w:tr>
      <w:tr w:rsidR="00CD5B0E" w:rsidRPr="00E15DF9" w14:paraId="5E966F7F" w14:textId="77777777" w:rsidTr="00CD5B0E">
        <w:tc>
          <w:tcPr>
            <w:tcW w:w="1838" w:type="dxa"/>
            <w:hideMark/>
          </w:tcPr>
          <w:p w14:paraId="56A51E4C" w14:textId="77777777" w:rsidR="00E15DF9" w:rsidRPr="00E15DF9" w:rsidRDefault="00E15DF9" w:rsidP="00E15DF9">
            <w:pPr>
              <w:spacing w:after="0" w:line="240" w:lineRule="auto"/>
              <w:jc w:val="left"/>
              <w:rPr>
                <w:rFonts w:cstheme="minorHAnsi"/>
                <w:color w:val="333333"/>
                <w:sz w:val="18"/>
                <w:szCs w:val="18"/>
              </w:rPr>
            </w:pPr>
            <w:r w:rsidRPr="00EB4D69">
              <w:rPr>
                <w:rFonts w:cstheme="minorHAnsi"/>
                <w:i/>
                <w:iCs/>
                <w:color w:val="333333"/>
                <w:sz w:val="18"/>
                <w:szCs w:val="18"/>
              </w:rPr>
              <w:t>Note:</w:t>
            </w:r>
          </w:p>
        </w:tc>
        <w:tc>
          <w:tcPr>
            <w:tcW w:w="7195" w:type="dxa"/>
            <w:gridSpan w:val="4"/>
            <w:hideMark/>
          </w:tcPr>
          <w:p w14:paraId="62850027" w14:textId="77777777" w:rsidR="00E11291" w:rsidRDefault="00E11291" w:rsidP="00E11291">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17882F97" w14:textId="4DBB750B" w:rsidR="00EB4D69" w:rsidRPr="00E15DF9" w:rsidRDefault="00EB4D69" w:rsidP="00E15DF9">
            <w:pPr>
              <w:spacing w:after="0" w:line="240" w:lineRule="auto"/>
              <w:jc w:val="right"/>
              <w:rPr>
                <w:rFonts w:cstheme="minorHAnsi"/>
                <w:color w:val="333333"/>
                <w:sz w:val="18"/>
                <w:szCs w:val="18"/>
              </w:rPr>
            </w:pPr>
            <w:r>
              <w:rPr>
                <w:rFonts w:cstheme="minorHAnsi"/>
                <w:color w:val="333333"/>
                <w:sz w:val="18"/>
                <w:szCs w:val="18"/>
              </w:rPr>
              <w:t xml:space="preserve">La venta de las estaciones de Pecsa se realizó en </w:t>
            </w:r>
            <w:r w:rsidR="00E11291">
              <w:rPr>
                <w:rFonts w:cstheme="minorHAnsi"/>
                <w:color w:val="333333"/>
                <w:sz w:val="18"/>
                <w:szCs w:val="18"/>
              </w:rPr>
              <w:t>enero</w:t>
            </w:r>
            <w:r>
              <w:rPr>
                <w:rFonts w:cstheme="minorHAnsi"/>
                <w:color w:val="333333"/>
                <w:sz w:val="18"/>
                <w:szCs w:val="18"/>
              </w:rPr>
              <w:t xml:space="preserve"> de 2018.</w:t>
            </w:r>
            <w:r w:rsidR="00E11291">
              <w:rPr>
                <w:rFonts w:cstheme="minorHAnsi"/>
                <w:color w:val="333333"/>
                <w:sz w:val="18"/>
                <w:szCs w:val="18"/>
              </w:rPr>
              <w:t xml:space="preserve"> Errores estándares en paréntesis</w:t>
            </w:r>
          </w:p>
        </w:tc>
      </w:tr>
    </w:tbl>
    <w:p w14:paraId="1E591422" w14:textId="70616E5C" w:rsidR="0077094F" w:rsidRDefault="00CC64D9" w:rsidP="0007726E">
      <w:pPr>
        <w:rPr>
          <w:sz w:val="18"/>
          <w:lang w:val="es-ES"/>
        </w:rPr>
      </w:pPr>
      <w:r w:rsidRPr="00CC64D9">
        <w:rPr>
          <w:sz w:val="18"/>
          <w:lang w:val="es-ES"/>
        </w:rPr>
        <w:t>Fuente: Elaboración propia, 2019</w:t>
      </w:r>
    </w:p>
    <w:p w14:paraId="64D3AFAA" w14:textId="4FE145C2" w:rsidR="00CC64D9" w:rsidRDefault="00CC64D9" w:rsidP="00CC64D9">
      <w:pPr>
        <w:rPr>
          <w:lang w:val="es-ES"/>
        </w:rPr>
      </w:pPr>
      <w:r>
        <w:rPr>
          <w:lang w:val="es-ES"/>
        </w:rPr>
        <w:t xml:space="preserve">A 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w:t>
      </w:r>
      <w:r w:rsidR="00AC5CFF">
        <w:rPr>
          <w:lang w:val="es-ES"/>
        </w:rPr>
        <w:lastRenderedPageBreak/>
        <w:t xml:space="preserve">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6DA157FD" w:rsidR="000E1B51" w:rsidRPr="00CC64D9" w:rsidRDefault="000E1B51" w:rsidP="001C4B13">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w:t>
      </w:r>
      <w:proofErr w:type="spellStart"/>
      <w:r>
        <w:rPr>
          <w:lang w:val="es-ES"/>
        </w:rPr>
        <w:t>Anselin</w:t>
      </w:r>
      <w:proofErr w:type="spellEnd"/>
      <w:r>
        <w:rPr>
          <w:lang w:val="es-ES"/>
        </w:rPr>
        <w:t xml:space="preserve">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w:t>
      </w:r>
      <w:proofErr w:type="spellStart"/>
      <w:r>
        <w:rPr>
          <w:lang w:val="es-ES"/>
        </w:rPr>
        <w:t>Elhorst</w:t>
      </w:r>
      <w:proofErr w:type="spellEnd"/>
      <w:r>
        <w:rPr>
          <w:lang w:val="es-ES"/>
        </w:rPr>
        <w:t xml:space="preserve">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1C4B13">
        <w:rPr>
          <w:lang w:val="es-ES"/>
        </w:rPr>
        <w:t xml:space="preserve"> para realizar los test 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498A5D06" w:rsidR="001C4B13" w:rsidRDefault="001C4B13" w:rsidP="001C4B13">
      <w:pPr>
        <w:pStyle w:val="Descripcin"/>
        <w:keepNext/>
      </w:pPr>
      <w:bookmarkStart w:id="41" w:name="_Ref6341542"/>
      <w:bookmarkStart w:id="42" w:name="_Toc6348800"/>
      <w:r>
        <w:lastRenderedPageBreak/>
        <w:t xml:space="preserve">Tabla </w:t>
      </w:r>
      <w:r>
        <w:fldChar w:fldCharType="begin"/>
      </w:r>
      <w:r>
        <w:instrText xml:space="preserve"> SEQ Tabla \* ARABIC </w:instrText>
      </w:r>
      <w:r>
        <w:fldChar w:fldCharType="separate"/>
      </w:r>
      <w:r w:rsidR="00560D5E">
        <w:rPr>
          <w:noProof/>
        </w:rPr>
        <w:t>5</w:t>
      </w:r>
      <w:r>
        <w:fldChar w:fldCharType="end"/>
      </w:r>
      <w:bookmarkEnd w:id="41"/>
      <w:r>
        <w:t>: Pruebas de LR para simplificar el modelo espacial de Durbin</w:t>
      </w:r>
      <w:bookmarkEnd w:id="42"/>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c>
          <w:tcPr>
            <w:tcW w:w="2604" w:type="dxa"/>
            <w:hideMark/>
          </w:tcPr>
          <w:p w14:paraId="71188B6D" w14:textId="77777777" w:rsidR="00C5153F" w:rsidRPr="00E15DF9" w:rsidRDefault="00C5153F" w:rsidP="00782240">
            <w:pPr>
              <w:keepNext/>
              <w:spacing w:after="0" w:line="240" w:lineRule="auto"/>
              <w:jc w:val="left"/>
              <w:rPr>
                <w:rFonts w:cstheme="minorHAnsi"/>
                <w:color w:val="333333"/>
                <w:sz w:val="18"/>
                <w:szCs w:val="18"/>
              </w:rPr>
            </w:pPr>
            <w:r w:rsidRPr="00EB4D69">
              <w:rPr>
                <w:rFonts w:cstheme="minorHAnsi"/>
                <w:color w:val="333333"/>
                <w:sz w:val="18"/>
                <w:szCs w:val="18"/>
              </w:rPr>
              <w:t>Mes</w:t>
            </w:r>
          </w:p>
        </w:tc>
        <w:tc>
          <w:tcPr>
            <w:tcW w:w="1487" w:type="dxa"/>
            <w:hideMark/>
          </w:tcPr>
          <w:p w14:paraId="55A9CCC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6E21FBFB"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28CCB88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50D0060F"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5153F" w:rsidRPr="00E15DF9" w14:paraId="09BD4A1B" w14:textId="77777777" w:rsidTr="001C4B13">
        <w:tc>
          <w:tcPr>
            <w:tcW w:w="2604" w:type="dxa"/>
          </w:tcPr>
          <w:p w14:paraId="113C5682" w14:textId="753E6447" w:rsidR="00C5153F" w:rsidRPr="00C5153F" w:rsidRDefault="00DF6465" w:rsidP="00782240">
            <w:pPr>
              <w:keepNext/>
              <w:spacing w:after="0" w:line="240" w:lineRule="auto"/>
              <w:jc w:val="left"/>
              <w:rPr>
                <w:rFonts w:cstheme="minorHAnsi"/>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r w:rsidR="001C4B13">
              <w:rPr>
                <w:rFonts w:cstheme="minorHAnsi"/>
                <w:color w:val="333333"/>
                <w:sz w:val="18"/>
                <w:szCs w:val="18"/>
              </w:rPr>
              <w:t xml:space="preserve"> </w:t>
            </w:r>
          </w:p>
        </w:tc>
        <w:tc>
          <w:tcPr>
            <w:tcW w:w="1487" w:type="dxa"/>
          </w:tcPr>
          <w:p w14:paraId="52CF8281" w14:textId="2302A84E"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20.707 [0.2945]</w:t>
            </w:r>
          </w:p>
        </w:tc>
        <w:tc>
          <w:tcPr>
            <w:tcW w:w="0" w:type="auto"/>
          </w:tcPr>
          <w:p w14:paraId="7DCE816D" w14:textId="665D9123"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16.12 [0.5842]</w:t>
            </w:r>
          </w:p>
        </w:tc>
        <w:tc>
          <w:tcPr>
            <w:tcW w:w="0" w:type="auto"/>
          </w:tcPr>
          <w:p w14:paraId="76482862" w14:textId="299EEAD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13.837 [0.7396]</w:t>
            </w:r>
          </w:p>
        </w:tc>
        <w:tc>
          <w:tcPr>
            <w:tcW w:w="0" w:type="auto"/>
          </w:tcPr>
          <w:p w14:paraId="4942261F" w14:textId="2F8C6F77"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22.268 [0.2203]</w:t>
            </w:r>
          </w:p>
        </w:tc>
      </w:tr>
      <w:tr w:rsidR="00C5153F" w:rsidRPr="00E15DF9" w14:paraId="1B58BC0E" w14:textId="77777777" w:rsidTr="001C4B13">
        <w:tc>
          <w:tcPr>
            <w:tcW w:w="2604" w:type="dxa"/>
            <w:vAlign w:val="center"/>
          </w:tcPr>
          <w:p w14:paraId="1C0ACC7A" w14:textId="6A901379" w:rsidR="00C5153F" w:rsidRPr="00C5153F" w:rsidRDefault="00DF6465" w:rsidP="00782240">
            <w:pPr>
              <w:keepNext/>
              <w:spacing w:after="0" w:line="240" w:lineRule="auto"/>
              <w:jc w:val="left"/>
              <w:rPr>
                <w:rFonts w:ascii="Times New Roman" w:hAnsi="Times New Roman"/>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+ρ</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β</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p>
        </w:tc>
        <w:tc>
          <w:tcPr>
            <w:tcW w:w="1487" w:type="dxa"/>
          </w:tcPr>
          <w:p w14:paraId="65531A31" w14:textId="673BEC9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p>
        </w:tc>
        <w:tc>
          <w:tcPr>
            <w:tcW w:w="0" w:type="auto"/>
          </w:tcPr>
          <w:p w14:paraId="4020BAA5" w14:textId="6D0F48F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p>
        </w:tc>
        <w:tc>
          <w:tcPr>
            <w:tcW w:w="0" w:type="auto"/>
          </w:tcPr>
          <w:p w14:paraId="42A5148C" w14:textId="63208440"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p>
        </w:tc>
        <w:tc>
          <w:tcPr>
            <w:tcW w:w="0" w:type="auto"/>
          </w:tcPr>
          <w:p w14:paraId="52121912" w14:textId="1B3E78F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p>
        </w:tc>
      </w:tr>
    </w:tbl>
    <w:p w14:paraId="1B16A67D" w14:textId="622D8FBA" w:rsidR="00C5153F" w:rsidRPr="001C4B13" w:rsidRDefault="001C4B13"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DF6465"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6BC040E6" w:rsidR="00F2093F" w:rsidRPr="00EE471F" w:rsidRDefault="00EE471F" w:rsidP="00EE471F">
      <w:pPr>
        <w:spacing w:after="200" w:line="276" w:lineRule="auto"/>
        <w:rPr>
          <w:lang w:val="es-ES"/>
        </w:rPr>
      </w:pPr>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w:t>
      </w:r>
      <w:proofErr w:type="spellStart"/>
      <w:r w:rsidR="00F7260E">
        <w:rPr>
          <w:lang w:val="es-ES"/>
        </w:rPr>
        <w:t>Lesage</w:t>
      </w:r>
      <w:proofErr w:type="spellEnd"/>
      <w:r w:rsidR="00F7260E">
        <w:rPr>
          <w:lang w:val="es-ES"/>
        </w:rPr>
        <w:t xml:space="preserv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xml:space="preserve">, se calculas los efectos directos, indirectos y totales asociados a cada </w:t>
      </w:r>
      <w:proofErr w:type="spellStart"/>
      <w:r w:rsidR="002031DD">
        <w:rPr>
          <w:lang w:val="es-ES"/>
        </w:rPr>
        <w:t>regresor</w:t>
      </w:r>
      <w:proofErr w:type="spellEnd"/>
      <w:r w:rsidR="002031DD">
        <w:rPr>
          <w:lang w:val="es-ES"/>
        </w:rPr>
        <w:t>. De esta manera, se puede obtener una comparación entre los efectos directos del modelo SAR y el obtenido por el modelo lineal sin dependencia espacial.</w:t>
      </w:r>
    </w:p>
    <w:p w14:paraId="156A3636" w14:textId="261382A7" w:rsidR="00C0182C" w:rsidRDefault="00C0182C" w:rsidP="00C0182C">
      <w:pPr>
        <w:pStyle w:val="Descripcin"/>
        <w:keepNext/>
      </w:pPr>
      <w:bookmarkStart w:id="43" w:name="_Ref6344719"/>
      <w:bookmarkStart w:id="44" w:name="_Toc6348801"/>
      <w:r>
        <w:t xml:space="preserve">Tabla </w:t>
      </w:r>
      <w:r>
        <w:fldChar w:fldCharType="begin"/>
      </w:r>
      <w:r>
        <w:instrText xml:space="preserve"> SEQ Tabla \* ARABIC </w:instrText>
      </w:r>
      <w:r>
        <w:fldChar w:fldCharType="separate"/>
      </w:r>
      <w:r w:rsidR="00560D5E">
        <w:rPr>
          <w:noProof/>
        </w:rPr>
        <w:t>6</w:t>
      </w:r>
      <w:r>
        <w:fldChar w:fldCharType="end"/>
      </w:r>
      <w:bookmarkEnd w:id="43"/>
      <w:r>
        <w:t>: Resultados del modelo autoregresivo espacial estimado por ML</w:t>
      </w:r>
      <w:bookmarkEnd w:id="44"/>
    </w:p>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B74098" w:rsidRPr="00B74098" w14:paraId="2DA72EEE" w14:textId="69E7E4FE" w:rsidTr="000E1B51">
        <w:tc>
          <w:tcPr>
            <w:tcW w:w="2187" w:type="dxa"/>
            <w:hideMark/>
          </w:tcPr>
          <w:p w14:paraId="29E04713" w14:textId="77777777" w:rsidR="00B74098" w:rsidRPr="00B74098" w:rsidRDefault="00B74098" w:rsidP="002A08F0">
            <w:pPr>
              <w:spacing w:after="0" w:line="240" w:lineRule="auto"/>
              <w:jc w:val="center"/>
              <w:rPr>
                <w:rFonts w:ascii="Times New Roman" w:hAnsi="Times New Roman"/>
                <w:sz w:val="18"/>
                <w:szCs w:val="18"/>
              </w:rPr>
            </w:pPr>
          </w:p>
        </w:tc>
        <w:tc>
          <w:tcPr>
            <w:tcW w:w="4612" w:type="dxa"/>
            <w:gridSpan w:val="4"/>
            <w:hideMark/>
          </w:tcPr>
          <w:p w14:paraId="3D334589" w14:textId="063CF201"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autoregresivo espacial</w:t>
            </w:r>
          </w:p>
        </w:tc>
        <w:tc>
          <w:tcPr>
            <w:tcW w:w="1694" w:type="dxa"/>
          </w:tcPr>
          <w:p w14:paraId="0048D32C" w14:textId="4DC33F67"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Lineal</w:t>
            </w:r>
          </w:p>
        </w:tc>
      </w:tr>
      <w:tr w:rsidR="00C36A22" w:rsidRPr="00B74098" w14:paraId="6CBF9D83" w14:textId="04D9EBDF" w:rsidTr="00B74098">
        <w:tc>
          <w:tcPr>
            <w:tcW w:w="2187" w:type="dxa"/>
            <w:hideMark/>
          </w:tcPr>
          <w:p w14:paraId="59EF49C1" w14:textId="77777777" w:rsidR="00C36A22" w:rsidRPr="00B74098" w:rsidRDefault="00C36A22" w:rsidP="00C36A22">
            <w:pPr>
              <w:spacing w:after="0" w:line="240" w:lineRule="auto"/>
              <w:jc w:val="center"/>
              <w:rPr>
                <w:rFonts w:ascii="Times New Roman" w:hAnsi="Times New Roman"/>
                <w:sz w:val="18"/>
                <w:szCs w:val="18"/>
              </w:rPr>
            </w:pPr>
          </w:p>
        </w:tc>
        <w:tc>
          <w:tcPr>
            <w:tcW w:w="1694" w:type="dxa"/>
            <w:hideMark/>
          </w:tcPr>
          <w:p w14:paraId="4BED616E" w14:textId="77BF1720"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Precio de Venta</w:t>
            </w:r>
          </w:p>
        </w:tc>
        <w:tc>
          <w:tcPr>
            <w:tcW w:w="1106" w:type="dxa"/>
          </w:tcPr>
          <w:p w14:paraId="1EFF3BE4" w14:textId="4614791B"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Directo</w:t>
            </w:r>
          </w:p>
        </w:tc>
        <w:tc>
          <w:tcPr>
            <w:tcW w:w="866" w:type="dxa"/>
          </w:tcPr>
          <w:p w14:paraId="1CB4DFFB" w14:textId="1A76D21C"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Indirecto</w:t>
            </w:r>
          </w:p>
        </w:tc>
        <w:tc>
          <w:tcPr>
            <w:tcW w:w="946" w:type="dxa"/>
          </w:tcPr>
          <w:p w14:paraId="4BD1485F" w14:textId="5B6732B8"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Total</w:t>
            </w:r>
          </w:p>
        </w:tc>
        <w:tc>
          <w:tcPr>
            <w:tcW w:w="1694" w:type="dxa"/>
          </w:tcPr>
          <w:p w14:paraId="373A75EC" w14:textId="77777777" w:rsidR="00C36A22" w:rsidRPr="00B74098" w:rsidRDefault="00C36A22" w:rsidP="00C36A22">
            <w:pPr>
              <w:spacing w:after="0" w:line="240" w:lineRule="auto"/>
              <w:jc w:val="center"/>
              <w:rPr>
                <w:rFonts w:cstheme="minorHAnsi"/>
                <w:color w:val="333333"/>
                <w:sz w:val="18"/>
                <w:szCs w:val="18"/>
              </w:rPr>
            </w:pPr>
          </w:p>
        </w:tc>
      </w:tr>
      <w:tr w:rsidR="00B74098" w:rsidRPr="00B74098" w14:paraId="59881BB8" w14:textId="58CAB184" w:rsidTr="000E1B51">
        <w:tc>
          <w:tcPr>
            <w:tcW w:w="2187" w:type="dxa"/>
            <w:hideMark/>
          </w:tcPr>
          <w:p w14:paraId="0E0AA1A7" w14:textId="7A2C24E5" w:rsidR="00B74098" w:rsidRPr="00B74098" w:rsidRDefault="00B74098" w:rsidP="00C36A22">
            <w:pPr>
              <w:spacing w:after="0" w:line="240" w:lineRule="auto"/>
              <w:jc w:val="left"/>
              <w:rPr>
                <w:rFonts w:ascii="Times New Roman" w:hAnsi="Times New Roman"/>
                <w:sz w:val="18"/>
                <w:szCs w:val="18"/>
              </w:rPr>
            </w:pPr>
            <w:r w:rsidRPr="00B74098">
              <w:rPr>
                <w:rFonts w:cstheme="minorHAnsi"/>
                <w:color w:val="333333"/>
                <w:sz w:val="18"/>
                <w:szCs w:val="18"/>
              </w:rPr>
              <w:t>Mes</w:t>
            </w:r>
          </w:p>
        </w:tc>
        <w:tc>
          <w:tcPr>
            <w:tcW w:w="6306" w:type="dxa"/>
            <w:gridSpan w:val="5"/>
            <w:hideMark/>
          </w:tcPr>
          <w:p w14:paraId="7308F349" w14:textId="65A3A459" w:rsidR="00B74098" w:rsidRPr="00B74098" w:rsidRDefault="00B74098" w:rsidP="00C36A22">
            <w:pPr>
              <w:spacing w:after="0" w:line="240" w:lineRule="auto"/>
              <w:jc w:val="center"/>
              <w:rPr>
                <w:rFonts w:cstheme="minorHAnsi"/>
                <w:color w:val="333333"/>
                <w:sz w:val="18"/>
                <w:szCs w:val="18"/>
              </w:rPr>
            </w:pPr>
            <w:r w:rsidRPr="00B74098">
              <w:rPr>
                <w:rFonts w:cstheme="minorHAnsi"/>
                <w:color w:val="333333"/>
                <w:sz w:val="18"/>
                <w:szCs w:val="18"/>
              </w:rPr>
              <w:t>Junio-2018</w:t>
            </w:r>
          </w:p>
        </w:tc>
      </w:tr>
      <w:tr w:rsidR="00C36A22" w:rsidRPr="00B74098" w14:paraId="0F2BF50A" w14:textId="396A2BA9" w:rsidTr="00B74098">
        <w:tc>
          <w:tcPr>
            <w:tcW w:w="2187" w:type="dxa"/>
            <w:hideMark/>
          </w:tcPr>
          <w:p w14:paraId="6AAB17FA" w14:textId="6F632E3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Petroperú</w:t>
            </w:r>
          </w:p>
        </w:tc>
        <w:tc>
          <w:tcPr>
            <w:tcW w:w="1694" w:type="dxa"/>
            <w:hideMark/>
          </w:tcPr>
          <w:p w14:paraId="78BD3F22"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0.073 (0.067)</w:t>
            </w:r>
          </w:p>
        </w:tc>
        <w:tc>
          <w:tcPr>
            <w:tcW w:w="1106" w:type="dxa"/>
            <w:vAlign w:val="center"/>
          </w:tcPr>
          <w:p w14:paraId="5761F715" w14:textId="09D2853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0.077</w:t>
            </w:r>
          </w:p>
        </w:tc>
        <w:tc>
          <w:tcPr>
            <w:tcW w:w="866" w:type="dxa"/>
            <w:vAlign w:val="center"/>
          </w:tcPr>
          <w:p w14:paraId="1F55BD63" w14:textId="1A71D1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0.072</w:t>
            </w:r>
          </w:p>
        </w:tc>
        <w:tc>
          <w:tcPr>
            <w:tcW w:w="946" w:type="dxa"/>
            <w:vAlign w:val="center"/>
          </w:tcPr>
          <w:p w14:paraId="2431A155" w14:textId="071D18D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0.149</w:t>
            </w:r>
          </w:p>
        </w:tc>
        <w:tc>
          <w:tcPr>
            <w:tcW w:w="1694" w:type="dxa"/>
          </w:tcPr>
          <w:p w14:paraId="3919BADA" w14:textId="6F10657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0.126 (0.078)</w:t>
            </w:r>
          </w:p>
        </w:tc>
      </w:tr>
      <w:tr w:rsidR="00C36A22" w:rsidRPr="00B74098" w14:paraId="683AABBF" w14:textId="2B220979" w:rsidTr="00B74098">
        <w:tc>
          <w:tcPr>
            <w:tcW w:w="2187" w:type="dxa"/>
            <w:hideMark/>
          </w:tcPr>
          <w:p w14:paraId="24643383" w14:textId="359BD56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Pecsa</w:t>
            </w:r>
          </w:p>
        </w:tc>
        <w:tc>
          <w:tcPr>
            <w:tcW w:w="1694" w:type="dxa"/>
            <w:hideMark/>
          </w:tcPr>
          <w:p w14:paraId="239362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0.235</w:t>
            </w:r>
            <w:r w:rsidRPr="00B74098">
              <w:rPr>
                <w:rFonts w:ascii="Times New Roman" w:hAnsi="Times New Roman"/>
                <w:sz w:val="18"/>
                <w:szCs w:val="18"/>
                <w:vertAlign w:val="superscript"/>
              </w:rPr>
              <w:t>***</w:t>
            </w:r>
            <w:r w:rsidRPr="00B74098">
              <w:rPr>
                <w:rFonts w:ascii="Times New Roman" w:hAnsi="Times New Roman"/>
                <w:sz w:val="18"/>
                <w:szCs w:val="18"/>
              </w:rPr>
              <w:t> (0.077)</w:t>
            </w:r>
          </w:p>
        </w:tc>
        <w:tc>
          <w:tcPr>
            <w:tcW w:w="1106" w:type="dxa"/>
            <w:vAlign w:val="center"/>
          </w:tcPr>
          <w:p w14:paraId="08929952" w14:textId="1A57251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0.249</w:t>
            </w:r>
            <w:r w:rsidRPr="00B74098">
              <w:rPr>
                <w:rFonts w:ascii="Times New Roman" w:hAnsi="Times New Roman"/>
                <w:sz w:val="18"/>
                <w:szCs w:val="18"/>
                <w:vertAlign w:val="superscript"/>
              </w:rPr>
              <w:t>***</w:t>
            </w:r>
          </w:p>
        </w:tc>
        <w:tc>
          <w:tcPr>
            <w:tcW w:w="866" w:type="dxa"/>
            <w:vAlign w:val="center"/>
          </w:tcPr>
          <w:p w14:paraId="771D8A63" w14:textId="37251E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0.235</w:t>
            </w:r>
            <w:r w:rsidRPr="00B74098">
              <w:rPr>
                <w:rFonts w:ascii="Times New Roman" w:hAnsi="Times New Roman"/>
                <w:sz w:val="18"/>
                <w:szCs w:val="18"/>
                <w:vertAlign w:val="superscript"/>
              </w:rPr>
              <w:t>***</w:t>
            </w:r>
          </w:p>
        </w:tc>
        <w:tc>
          <w:tcPr>
            <w:tcW w:w="946" w:type="dxa"/>
            <w:vAlign w:val="center"/>
          </w:tcPr>
          <w:p w14:paraId="6AF72942" w14:textId="2ED23A8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0.483</w:t>
            </w:r>
            <w:r w:rsidRPr="00B74098">
              <w:rPr>
                <w:rFonts w:ascii="Times New Roman" w:hAnsi="Times New Roman"/>
                <w:sz w:val="18"/>
                <w:szCs w:val="18"/>
                <w:vertAlign w:val="superscript"/>
              </w:rPr>
              <w:t>***</w:t>
            </w:r>
          </w:p>
        </w:tc>
        <w:tc>
          <w:tcPr>
            <w:tcW w:w="1694" w:type="dxa"/>
          </w:tcPr>
          <w:p w14:paraId="53D23D59" w14:textId="6310F7B1"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0.261</w:t>
            </w:r>
            <w:r w:rsidRPr="00B74098">
              <w:rPr>
                <w:rFonts w:cstheme="minorHAnsi"/>
                <w:color w:val="333333"/>
                <w:sz w:val="18"/>
                <w:szCs w:val="18"/>
                <w:vertAlign w:val="superscript"/>
              </w:rPr>
              <w:t>***</w:t>
            </w:r>
            <w:r w:rsidRPr="00B74098">
              <w:rPr>
                <w:rFonts w:cstheme="minorHAnsi"/>
                <w:color w:val="333333"/>
                <w:sz w:val="18"/>
                <w:szCs w:val="18"/>
              </w:rPr>
              <w:t> (0.089)</w:t>
            </w:r>
          </w:p>
        </w:tc>
      </w:tr>
      <w:tr w:rsidR="00C36A22" w:rsidRPr="00B74098" w14:paraId="6632E503" w14:textId="438869BB" w:rsidTr="00B74098">
        <w:tc>
          <w:tcPr>
            <w:tcW w:w="2187" w:type="dxa"/>
            <w:hideMark/>
          </w:tcPr>
          <w:p w14:paraId="2DDBBD9E" w14:textId="63F783FD"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Primax</w:t>
            </w:r>
          </w:p>
        </w:tc>
        <w:tc>
          <w:tcPr>
            <w:tcW w:w="1694" w:type="dxa"/>
            <w:hideMark/>
          </w:tcPr>
          <w:p w14:paraId="6A9EB92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0.351</w:t>
            </w:r>
            <w:r w:rsidRPr="00B74098">
              <w:rPr>
                <w:rFonts w:ascii="Times New Roman" w:hAnsi="Times New Roman"/>
                <w:sz w:val="18"/>
                <w:szCs w:val="18"/>
                <w:vertAlign w:val="superscript"/>
              </w:rPr>
              <w:t>***</w:t>
            </w:r>
            <w:r w:rsidRPr="00B74098">
              <w:rPr>
                <w:rFonts w:ascii="Times New Roman" w:hAnsi="Times New Roman"/>
                <w:sz w:val="18"/>
                <w:szCs w:val="18"/>
              </w:rPr>
              <w:t> (0.058)</w:t>
            </w:r>
          </w:p>
        </w:tc>
        <w:tc>
          <w:tcPr>
            <w:tcW w:w="1106" w:type="dxa"/>
            <w:vAlign w:val="center"/>
          </w:tcPr>
          <w:p w14:paraId="460D0945" w14:textId="1377A72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0.372</w:t>
            </w:r>
            <w:r w:rsidRPr="00B74098">
              <w:rPr>
                <w:rFonts w:ascii="Times New Roman" w:hAnsi="Times New Roman"/>
                <w:sz w:val="18"/>
                <w:szCs w:val="18"/>
                <w:vertAlign w:val="superscript"/>
              </w:rPr>
              <w:t>***</w:t>
            </w:r>
          </w:p>
        </w:tc>
        <w:tc>
          <w:tcPr>
            <w:tcW w:w="866" w:type="dxa"/>
            <w:vAlign w:val="center"/>
          </w:tcPr>
          <w:p w14:paraId="61CAD292" w14:textId="55DEFB5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0.351</w:t>
            </w:r>
            <w:r w:rsidRPr="00B74098">
              <w:rPr>
                <w:rFonts w:ascii="Times New Roman" w:hAnsi="Times New Roman"/>
                <w:sz w:val="18"/>
                <w:szCs w:val="18"/>
                <w:vertAlign w:val="superscript"/>
              </w:rPr>
              <w:t>***</w:t>
            </w:r>
          </w:p>
        </w:tc>
        <w:tc>
          <w:tcPr>
            <w:tcW w:w="946" w:type="dxa"/>
            <w:vAlign w:val="center"/>
          </w:tcPr>
          <w:p w14:paraId="62D04FA1" w14:textId="0E93727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0.723</w:t>
            </w:r>
            <w:r w:rsidRPr="00B74098">
              <w:rPr>
                <w:rFonts w:ascii="Times New Roman" w:hAnsi="Times New Roman"/>
                <w:sz w:val="18"/>
                <w:szCs w:val="18"/>
                <w:vertAlign w:val="superscript"/>
              </w:rPr>
              <w:t>***</w:t>
            </w:r>
          </w:p>
        </w:tc>
        <w:tc>
          <w:tcPr>
            <w:tcW w:w="1694" w:type="dxa"/>
          </w:tcPr>
          <w:p w14:paraId="634D0213" w14:textId="1CFB388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0.421</w:t>
            </w:r>
            <w:r w:rsidRPr="00B74098">
              <w:rPr>
                <w:rFonts w:cstheme="minorHAnsi"/>
                <w:color w:val="333333"/>
                <w:sz w:val="18"/>
                <w:szCs w:val="18"/>
                <w:vertAlign w:val="superscript"/>
              </w:rPr>
              <w:t>***</w:t>
            </w:r>
            <w:r w:rsidRPr="00B74098">
              <w:rPr>
                <w:rFonts w:cstheme="minorHAnsi"/>
                <w:color w:val="333333"/>
                <w:sz w:val="18"/>
                <w:szCs w:val="18"/>
              </w:rPr>
              <w:t> (0.067)</w:t>
            </w:r>
          </w:p>
        </w:tc>
      </w:tr>
      <w:tr w:rsidR="00C36A22" w:rsidRPr="00B74098" w14:paraId="2B39A2FF" w14:textId="1C557642" w:rsidTr="00B74098">
        <w:tc>
          <w:tcPr>
            <w:tcW w:w="2187" w:type="dxa"/>
            <w:hideMark/>
          </w:tcPr>
          <w:p w14:paraId="498892FC" w14:textId="7DC4107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Repsol</w:t>
            </w:r>
          </w:p>
        </w:tc>
        <w:tc>
          <w:tcPr>
            <w:tcW w:w="1694" w:type="dxa"/>
            <w:hideMark/>
          </w:tcPr>
          <w:p w14:paraId="5EBA46C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0.258</w:t>
            </w:r>
            <w:r w:rsidRPr="00B74098">
              <w:rPr>
                <w:rFonts w:ascii="Times New Roman" w:hAnsi="Times New Roman"/>
                <w:sz w:val="18"/>
                <w:szCs w:val="18"/>
                <w:vertAlign w:val="superscript"/>
              </w:rPr>
              <w:t>***</w:t>
            </w:r>
            <w:r w:rsidRPr="00B74098">
              <w:rPr>
                <w:rFonts w:ascii="Times New Roman" w:hAnsi="Times New Roman"/>
                <w:sz w:val="18"/>
                <w:szCs w:val="18"/>
              </w:rPr>
              <w:t> (0.063)</w:t>
            </w:r>
          </w:p>
        </w:tc>
        <w:tc>
          <w:tcPr>
            <w:tcW w:w="1106" w:type="dxa"/>
            <w:vAlign w:val="center"/>
          </w:tcPr>
          <w:p w14:paraId="3CFE7B89" w14:textId="7AD662F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0.273</w:t>
            </w:r>
            <w:r w:rsidRPr="00B74098">
              <w:rPr>
                <w:rFonts w:ascii="Times New Roman" w:hAnsi="Times New Roman"/>
                <w:sz w:val="18"/>
                <w:szCs w:val="18"/>
                <w:vertAlign w:val="superscript"/>
              </w:rPr>
              <w:t>***</w:t>
            </w:r>
          </w:p>
        </w:tc>
        <w:tc>
          <w:tcPr>
            <w:tcW w:w="866" w:type="dxa"/>
            <w:vAlign w:val="center"/>
          </w:tcPr>
          <w:p w14:paraId="56AA641E" w14:textId="3105858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0.258</w:t>
            </w:r>
            <w:r w:rsidRPr="00B74098">
              <w:rPr>
                <w:rFonts w:ascii="Times New Roman" w:hAnsi="Times New Roman"/>
                <w:sz w:val="18"/>
                <w:szCs w:val="18"/>
                <w:vertAlign w:val="superscript"/>
              </w:rPr>
              <w:t>***</w:t>
            </w:r>
          </w:p>
        </w:tc>
        <w:tc>
          <w:tcPr>
            <w:tcW w:w="946" w:type="dxa"/>
            <w:vAlign w:val="center"/>
          </w:tcPr>
          <w:p w14:paraId="4ADAA3C2" w14:textId="3616C73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0.531</w:t>
            </w:r>
            <w:r w:rsidRPr="00B74098">
              <w:rPr>
                <w:rFonts w:ascii="Times New Roman" w:hAnsi="Times New Roman"/>
                <w:sz w:val="18"/>
                <w:szCs w:val="18"/>
                <w:vertAlign w:val="superscript"/>
              </w:rPr>
              <w:t>***</w:t>
            </w:r>
          </w:p>
        </w:tc>
        <w:tc>
          <w:tcPr>
            <w:tcW w:w="1694" w:type="dxa"/>
          </w:tcPr>
          <w:p w14:paraId="15A69646" w14:textId="6CB3D30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0.327</w:t>
            </w:r>
            <w:r w:rsidRPr="00B74098">
              <w:rPr>
                <w:rFonts w:cstheme="minorHAnsi"/>
                <w:color w:val="333333"/>
                <w:sz w:val="18"/>
                <w:szCs w:val="18"/>
                <w:vertAlign w:val="superscript"/>
              </w:rPr>
              <w:t>***</w:t>
            </w:r>
            <w:r w:rsidRPr="00B74098">
              <w:rPr>
                <w:rFonts w:cstheme="minorHAnsi"/>
                <w:color w:val="333333"/>
                <w:sz w:val="18"/>
                <w:szCs w:val="18"/>
              </w:rPr>
              <w:t> (0.073)</w:t>
            </w:r>
          </w:p>
        </w:tc>
      </w:tr>
      <w:tr w:rsidR="00C36A22" w:rsidRPr="00B74098" w14:paraId="2F1093C3" w14:textId="32DFBC2B" w:rsidTr="00B74098">
        <w:tc>
          <w:tcPr>
            <w:tcW w:w="2187" w:type="dxa"/>
            <w:hideMark/>
          </w:tcPr>
          <w:p w14:paraId="5D2EE9A6" w14:textId="6DA878A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Pecsa</w:t>
            </w:r>
          </w:p>
        </w:tc>
        <w:tc>
          <w:tcPr>
            <w:tcW w:w="1694" w:type="dxa"/>
            <w:hideMark/>
          </w:tcPr>
          <w:p w14:paraId="475550F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0.100 (0.084)</w:t>
            </w:r>
          </w:p>
        </w:tc>
        <w:tc>
          <w:tcPr>
            <w:tcW w:w="1106" w:type="dxa"/>
            <w:vAlign w:val="center"/>
          </w:tcPr>
          <w:p w14:paraId="7589F3DB" w14:textId="4B6E48E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0.106</w:t>
            </w:r>
          </w:p>
        </w:tc>
        <w:tc>
          <w:tcPr>
            <w:tcW w:w="866" w:type="dxa"/>
            <w:vAlign w:val="center"/>
          </w:tcPr>
          <w:p w14:paraId="796FE5D1" w14:textId="3A61C4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0.100</w:t>
            </w:r>
          </w:p>
        </w:tc>
        <w:tc>
          <w:tcPr>
            <w:tcW w:w="946" w:type="dxa"/>
            <w:vAlign w:val="center"/>
          </w:tcPr>
          <w:p w14:paraId="7F28EE6C" w14:textId="2A94DE2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0.206</w:t>
            </w:r>
          </w:p>
        </w:tc>
        <w:tc>
          <w:tcPr>
            <w:tcW w:w="1694" w:type="dxa"/>
          </w:tcPr>
          <w:p w14:paraId="4C429510" w14:textId="49B4954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0.158 (0.098)</w:t>
            </w:r>
          </w:p>
        </w:tc>
      </w:tr>
      <w:tr w:rsidR="00C36A22" w:rsidRPr="00B74098" w14:paraId="5C0D91F5" w14:textId="315D5FAE" w:rsidTr="00B74098">
        <w:tc>
          <w:tcPr>
            <w:tcW w:w="2187" w:type="dxa"/>
            <w:hideMark/>
          </w:tcPr>
          <w:p w14:paraId="2A016CDE" w14:textId="7DDD3DA0"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Primax</w:t>
            </w:r>
          </w:p>
        </w:tc>
        <w:tc>
          <w:tcPr>
            <w:tcW w:w="1694" w:type="dxa"/>
            <w:hideMark/>
          </w:tcPr>
          <w:p w14:paraId="72CDCBBA"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0.659</w:t>
            </w:r>
            <w:r w:rsidRPr="00B74098">
              <w:rPr>
                <w:rFonts w:ascii="Times New Roman" w:hAnsi="Times New Roman"/>
                <w:sz w:val="18"/>
                <w:szCs w:val="18"/>
                <w:vertAlign w:val="superscript"/>
              </w:rPr>
              <w:t>***</w:t>
            </w:r>
            <w:r w:rsidRPr="00B74098">
              <w:rPr>
                <w:rFonts w:ascii="Times New Roman" w:hAnsi="Times New Roman"/>
                <w:sz w:val="18"/>
                <w:szCs w:val="18"/>
              </w:rPr>
              <w:t> (0.075)</w:t>
            </w:r>
          </w:p>
        </w:tc>
        <w:tc>
          <w:tcPr>
            <w:tcW w:w="1106" w:type="dxa"/>
            <w:vAlign w:val="center"/>
          </w:tcPr>
          <w:p w14:paraId="364C856F" w14:textId="0D478B7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0.699</w:t>
            </w:r>
            <w:r w:rsidRPr="00B74098">
              <w:rPr>
                <w:rFonts w:ascii="Times New Roman" w:hAnsi="Times New Roman"/>
                <w:sz w:val="18"/>
                <w:szCs w:val="18"/>
                <w:vertAlign w:val="superscript"/>
              </w:rPr>
              <w:t>***</w:t>
            </w:r>
          </w:p>
        </w:tc>
        <w:tc>
          <w:tcPr>
            <w:tcW w:w="866" w:type="dxa"/>
            <w:vAlign w:val="center"/>
          </w:tcPr>
          <w:p w14:paraId="5E127D02" w14:textId="3372A1A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0.659</w:t>
            </w:r>
            <w:r w:rsidRPr="00B74098">
              <w:rPr>
                <w:rFonts w:ascii="Times New Roman" w:hAnsi="Times New Roman"/>
                <w:sz w:val="18"/>
                <w:szCs w:val="18"/>
                <w:vertAlign w:val="superscript"/>
              </w:rPr>
              <w:t>***</w:t>
            </w:r>
          </w:p>
        </w:tc>
        <w:tc>
          <w:tcPr>
            <w:tcW w:w="946" w:type="dxa"/>
            <w:vAlign w:val="center"/>
          </w:tcPr>
          <w:p w14:paraId="6A17909B" w14:textId="51BC50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1.358</w:t>
            </w:r>
            <w:r w:rsidRPr="00B74098">
              <w:rPr>
                <w:rFonts w:ascii="Times New Roman" w:hAnsi="Times New Roman"/>
                <w:sz w:val="18"/>
                <w:szCs w:val="18"/>
                <w:vertAlign w:val="superscript"/>
              </w:rPr>
              <w:t>***</w:t>
            </w:r>
          </w:p>
        </w:tc>
        <w:tc>
          <w:tcPr>
            <w:tcW w:w="1694" w:type="dxa"/>
          </w:tcPr>
          <w:p w14:paraId="662C5A05" w14:textId="2FCFB2D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0.787</w:t>
            </w:r>
            <w:r w:rsidRPr="00B74098">
              <w:rPr>
                <w:rFonts w:cstheme="minorHAnsi"/>
                <w:color w:val="333333"/>
                <w:sz w:val="18"/>
                <w:szCs w:val="18"/>
                <w:vertAlign w:val="superscript"/>
              </w:rPr>
              <w:t>***</w:t>
            </w:r>
            <w:r w:rsidRPr="00B74098">
              <w:rPr>
                <w:rFonts w:cstheme="minorHAnsi"/>
                <w:color w:val="333333"/>
                <w:sz w:val="18"/>
                <w:szCs w:val="18"/>
              </w:rPr>
              <w:t> (0.087)</w:t>
            </w:r>
          </w:p>
        </w:tc>
      </w:tr>
      <w:tr w:rsidR="00C36A22" w:rsidRPr="00B74098" w14:paraId="482A0F2B" w14:textId="4E865A6A" w:rsidTr="00B74098">
        <w:tc>
          <w:tcPr>
            <w:tcW w:w="2187" w:type="dxa"/>
            <w:hideMark/>
          </w:tcPr>
          <w:p w14:paraId="0FA559B8" w14:textId="20569FC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Repsol</w:t>
            </w:r>
          </w:p>
        </w:tc>
        <w:tc>
          <w:tcPr>
            <w:tcW w:w="1694" w:type="dxa"/>
            <w:hideMark/>
          </w:tcPr>
          <w:p w14:paraId="6AD6A94E"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0.459</w:t>
            </w:r>
            <w:r w:rsidRPr="00B74098">
              <w:rPr>
                <w:rFonts w:ascii="Times New Roman" w:hAnsi="Times New Roman"/>
                <w:sz w:val="18"/>
                <w:szCs w:val="18"/>
                <w:vertAlign w:val="superscript"/>
              </w:rPr>
              <w:t>***</w:t>
            </w:r>
            <w:r w:rsidRPr="00B74098">
              <w:rPr>
                <w:rFonts w:ascii="Times New Roman" w:hAnsi="Times New Roman"/>
                <w:sz w:val="18"/>
                <w:szCs w:val="18"/>
              </w:rPr>
              <w:t> (0.066)</w:t>
            </w:r>
          </w:p>
        </w:tc>
        <w:tc>
          <w:tcPr>
            <w:tcW w:w="1106" w:type="dxa"/>
            <w:vAlign w:val="center"/>
          </w:tcPr>
          <w:p w14:paraId="2DC794D7" w14:textId="63CB384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0.486</w:t>
            </w:r>
            <w:r w:rsidRPr="00B74098">
              <w:rPr>
                <w:rFonts w:ascii="Times New Roman" w:hAnsi="Times New Roman"/>
                <w:sz w:val="18"/>
                <w:szCs w:val="18"/>
                <w:vertAlign w:val="superscript"/>
              </w:rPr>
              <w:t>***</w:t>
            </w:r>
          </w:p>
        </w:tc>
        <w:tc>
          <w:tcPr>
            <w:tcW w:w="866" w:type="dxa"/>
            <w:vAlign w:val="center"/>
          </w:tcPr>
          <w:p w14:paraId="29601395" w14:textId="3FB4D5E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0.458</w:t>
            </w:r>
            <w:r w:rsidRPr="00B74098">
              <w:rPr>
                <w:rFonts w:ascii="Times New Roman" w:hAnsi="Times New Roman"/>
                <w:sz w:val="18"/>
                <w:szCs w:val="18"/>
                <w:vertAlign w:val="superscript"/>
              </w:rPr>
              <w:t>***</w:t>
            </w:r>
          </w:p>
        </w:tc>
        <w:tc>
          <w:tcPr>
            <w:tcW w:w="946" w:type="dxa"/>
            <w:vAlign w:val="center"/>
          </w:tcPr>
          <w:p w14:paraId="76A4D891" w14:textId="4D958D4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0.944</w:t>
            </w:r>
            <w:r w:rsidRPr="00B74098">
              <w:rPr>
                <w:rFonts w:ascii="Times New Roman" w:hAnsi="Times New Roman"/>
                <w:sz w:val="18"/>
                <w:szCs w:val="18"/>
                <w:vertAlign w:val="superscript"/>
              </w:rPr>
              <w:t>***</w:t>
            </w:r>
          </w:p>
        </w:tc>
        <w:tc>
          <w:tcPr>
            <w:tcW w:w="1694" w:type="dxa"/>
          </w:tcPr>
          <w:p w14:paraId="1347843B" w14:textId="4E0D9B9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0.531</w:t>
            </w:r>
            <w:r w:rsidRPr="00B74098">
              <w:rPr>
                <w:rFonts w:cstheme="minorHAnsi"/>
                <w:color w:val="333333"/>
                <w:sz w:val="18"/>
                <w:szCs w:val="18"/>
                <w:vertAlign w:val="superscript"/>
              </w:rPr>
              <w:t>***</w:t>
            </w:r>
            <w:r w:rsidRPr="00B74098">
              <w:rPr>
                <w:rFonts w:cstheme="minorHAnsi"/>
                <w:color w:val="333333"/>
                <w:sz w:val="18"/>
                <w:szCs w:val="18"/>
              </w:rPr>
              <w:t> (0.076)</w:t>
            </w:r>
          </w:p>
        </w:tc>
      </w:tr>
      <w:tr w:rsidR="00C36A22" w:rsidRPr="00B74098" w14:paraId="4509FB68" w14:textId="39A8783E" w:rsidTr="00B74098">
        <w:tc>
          <w:tcPr>
            <w:tcW w:w="2187" w:type="dxa"/>
            <w:hideMark/>
          </w:tcPr>
          <w:p w14:paraId="1094CBF3" w14:textId="4AF2B55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SC</w:t>
            </w:r>
          </w:p>
        </w:tc>
        <w:tc>
          <w:tcPr>
            <w:tcW w:w="1694" w:type="dxa"/>
            <w:hideMark/>
          </w:tcPr>
          <w:p w14:paraId="453CB57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(0.079)</w:t>
            </w:r>
          </w:p>
        </w:tc>
        <w:tc>
          <w:tcPr>
            <w:tcW w:w="1106" w:type="dxa"/>
            <w:vAlign w:val="center"/>
          </w:tcPr>
          <w:p w14:paraId="5F1C2CF5" w14:textId="2553949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p>
        </w:tc>
        <w:tc>
          <w:tcPr>
            <w:tcW w:w="866" w:type="dxa"/>
            <w:vAlign w:val="center"/>
          </w:tcPr>
          <w:p w14:paraId="4296D3E2" w14:textId="338F96A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p>
        </w:tc>
        <w:tc>
          <w:tcPr>
            <w:tcW w:w="946" w:type="dxa"/>
            <w:vAlign w:val="center"/>
          </w:tcPr>
          <w:p w14:paraId="1D5CC0CE" w14:textId="15013107"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p>
        </w:tc>
        <w:tc>
          <w:tcPr>
            <w:tcW w:w="1694" w:type="dxa"/>
          </w:tcPr>
          <w:p w14:paraId="0F19ADD4" w14:textId="7B17628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-0.059 (0.092)</w:t>
            </w:r>
          </w:p>
        </w:tc>
      </w:tr>
      <w:tr w:rsidR="00C36A22" w:rsidRPr="00B74098" w14:paraId="6111A941" w14:textId="672E668B" w:rsidTr="00B74098">
        <w:tc>
          <w:tcPr>
            <w:tcW w:w="2187" w:type="dxa"/>
            <w:hideMark/>
          </w:tcPr>
          <w:p w14:paraId="2AFE9D93" w14:textId="41B82584"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DPROM</w:t>
            </w:r>
          </w:p>
        </w:tc>
        <w:tc>
          <w:tcPr>
            <w:tcW w:w="1694" w:type="dxa"/>
            <w:hideMark/>
          </w:tcPr>
          <w:p w14:paraId="5A9A007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0.194 (0.135)</w:t>
            </w:r>
          </w:p>
        </w:tc>
        <w:tc>
          <w:tcPr>
            <w:tcW w:w="1106" w:type="dxa"/>
            <w:vAlign w:val="center"/>
          </w:tcPr>
          <w:p w14:paraId="28734640" w14:textId="6C503F0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0.205</w:t>
            </w:r>
            <w:r w:rsidRPr="00B74098">
              <w:rPr>
                <w:rFonts w:ascii="Times New Roman" w:hAnsi="Times New Roman"/>
                <w:sz w:val="18"/>
                <w:szCs w:val="18"/>
                <w:vertAlign w:val="superscript"/>
              </w:rPr>
              <w:t>*</w:t>
            </w:r>
          </w:p>
        </w:tc>
        <w:tc>
          <w:tcPr>
            <w:tcW w:w="866" w:type="dxa"/>
            <w:vAlign w:val="center"/>
          </w:tcPr>
          <w:p w14:paraId="7B2122BA" w14:textId="50B0C93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0.194</w:t>
            </w:r>
            <w:r w:rsidRPr="00B74098">
              <w:rPr>
                <w:rFonts w:ascii="Times New Roman" w:hAnsi="Times New Roman"/>
                <w:sz w:val="18"/>
                <w:szCs w:val="18"/>
                <w:vertAlign w:val="superscript"/>
              </w:rPr>
              <w:t>*</w:t>
            </w:r>
          </w:p>
        </w:tc>
        <w:tc>
          <w:tcPr>
            <w:tcW w:w="946" w:type="dxa"/>
            <w:vAlign w:val="center"/>
          </w:tcPr>
          <w:p w14:paraId="3D280AD3" w14:textId="58FD98B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0.399</w:t>
            </w:r>
            <w:r w:rsidRPr="00B74098">
              <w:rPr>
                <w:rFonts w:ascii="Times New Roman" w:hAnsi="Times New Roman"/>
                <w:sz w:val="18"/>
                <w:szCs w:val="18"/>
                <w:vertAlign w:val="superscript"/>
              </w:rPr>
              <w:t>*</w:t>
            </w:r>
          </w:p>
        </w:tc>
        <w:tc>
          <w:tcPr>
            <w:tcW w:w="1694" w:type="dxa"/>
          </w:tcPr>
          <w:p w14:paraId="7A20DC1A" w14:textId="4B2C7B83"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0.185 (0.157)</w:t>
            </w:r>
          </w:p>
        </w:tc>
      </w:tr>
      <w:tr w:rsidR="00C36A22" w:rsidRPr="00B74098" w14:paraId="58B8C47A" w14:textId="59A8CA14" w:rsidTr="00B74098">
        <w:tc>
          <w:tcPr>
            <w:tcW w:w="2187" w:type="dxa"/>
            <w:hideMark/>
          </w:tcPr>
          <w:p w14:paraId="7D970763" w14:textId="72AA0BC1"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DMIN</w:t>
            </w:r>
          </w:p>
        </w:tc>
        <w:tc>
          <w:tcPr>
            <w:tcW w:w="1694" w:type="dxa"/>
            <w:hideMark/>
          </w:tcPr>
          <w:p w14:paraId="5865E96C"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(0.056)</w:t>
            </w:r>
          </w:p>
        </w:tc>
        <w:tc>
          <w:tcPr>
            <w:tcW w:w="1106" w:type="dxa"/>
            <w:vAlign w:val="center"/>
          </w:tcPr>
          <w:p w14:paraId="5B61873A" w14:textId="79C31D3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r w:rsidRPr="00B74098">
              <w:rPr>
                <w:rFonts w:ascii="Times New Roman" w:hAnsi="Times New Roman"/>
                <w:sz w:val="18"/>
                <w:szCs w:val="18"/>
                <w:vertAlign w:val="superscript"/>
              </w:rPr>
              <w:t>***</w:t>
            </w:r>
          </w:p>
        </w:tc>
        <w:tc>
          <w:tcPr>
            <w:tcW w:w="866" w:type="dxa"/>
            <w:vAlign w:val="center"/>
          </w:tcPr>
          <w:p w14:paraId="09162B4E" w14:textId="754DE42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r w:rsidRPr="00B74098">
              <w:rPr>
                <w:rFonts w:ascii="Times New Roman" w:hAnsi="Times New Roman"/>
                <w:sz w:val="18"/>
                <w:szCs w:val="18"/>
                <w:vertAlign w:val="superscript"/>
              </w:rPr>
              <w:t>***</w:t>
            </w:r>
          </w:p>
        </w:tc>
        <w:tc>
          <w:tcPr>
            <w:tcW w:w="946" w:type="dxa"/>
            <w:vAlign w:val="center"/>
          </w:tcPr>
          <w:p w14:paraId="1D118F26" w14:textId="2F2A66F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r w:rsidRPr="00B74098">
              <w:rPr>
                <w:rFonts w:ascii="Times New Roman" w:hAnsi="Times New Roman"/>
                <w:sz w:val="18"/>
                <w:szCs w:val="18"/>
                <w:vertAlign w:val="superscript"/>
              </w:rPr>
              <w:t>***</w:t>
            </w:r>
          </w:p>
        </w:tc>
        <w:tc>
          <w:tcPr>
            <w:tcW w:w="1694" w:type="dxa"/>
          </w:tcPr>
          <w:p w14:paraId="3B5D4C30" w14:textId="048B24B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-0.139</w:t>
            </w:r>
            <w:r w:rsidRPr="00B74098">
              <w:rPr>
                <w:rFonts w:cstheme="minorHAnsi"/>
                <w:color w:val="333333"/>
                <w:sz w:val="18"/>
                <w:szCs w:val="18"/>
                <w:vertAlign w:val="superscript"/>
              </w:rPr>
              <w:t>**</w:t>
            </w:r>
            <w:r w:rsidRPr="00B74098">
              <w:rPr>
                <w:rFonts w:cstheme="minorHAnsi"/>
                <w:color w:val="333333"/>
                <w:sz w:val="18"/>
                <w:szCs w:val="18"/>
              </w:rPr>
              <w:t> (0.065)</w:t>
            </w:r>
          </w:p>
        </w:tc>
      </w:tr>
      <w:tr w:rsidR="00C36A22" w:rsidRPr="00B74098" w14:paraId="3866E649" w14:textId="0540AEFF" w:rsidTr="00B74098">
        <w:tc>
          <w:tcPr>
            <w:tcW w:w="2187" w:type="dxa"/>
            <w:hideMark/>
          </w:tcPr>
          <w:p w14:paraId="435659E8" w14:textId="79FD2896"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NCERC</w:t>
            </w:r>
          </w:p>
        </w:tc>
        <w:tc>
          <w:tcPr>
            <w:tcW w:w="1694" w:type="dxa"/>
            <w:hideMark/>
          </w:tcPr>
          <w:p w14:paraId="5385359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-0.007</w:t>
            </w:r>
            <w:r w:rsidRPr="00B74098">
              <w:rPr>
                <w:rFonts w:ascii="Times New Roman" w:hAnsi="Times New Roman"/>
                <w:sz w:val="18"/>
                <w:szCs w:val="18"/>
                <w:vertAlign w:val="superscript"/>
              </w:rPr>
              <w:t>**</w:t>
            </w:r>
            <w:r w:rsidRPr="00B74098">
              <w:rPr>
                <w:rFonts w:ascii="Times New Roman" w:hAnsi="Times New Roman"/>
                <w:sz w:val="18"/>
                <w:szCs w:val="18"/>
              </w:rPr>
              <w:t> (0.003)</w:t>
            </w:r>
          </w:p>
        </w:tc>
        <w:tc>
          <w:tcPr>
            <w:tcW w:w="1106" w:type="dxa"/>
            <w:vAlign w:val="center"/>
          </w:tcPr>
          <w:p w14:paraId="21F88C90" w14:textId="1FB209A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-0.008</w:t>
            </w:r>
            <w:r w:rsidRPr="00B74098">
              <w:rPr>
                <w:rFonts w:ascii="Times New Roman" w:hAnsi="Times New Roman"/>
                <w:sz w:val="18"/>
                <w:szCs w:val="18"/>
                <w:vertAlign w:val="superscript"/>
              </w:rPr>
              <w:t>***</w:t>
            </w:r>
          </w:p>
        </w:tc>
        <w:tc>
          <w:tcPr>
            <w:tcW w:w="866" w:type="dxa"/>
            <w:vAlign w:val="center"/>
          </w:tcPr>
          <w:p w14:paraId="29C935BE" w14:textId="4DF1630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-0.007</w:t>
            </w:r>
            <w:r w:rsidRPr="00B74098">
              <w:rPr>
                <w:rFonts w:ascii="Times New Roman" w:hAnsi="Times New Roman"/>
                <w:sz w:val="18"/>
                <w:szCs w:val="18"/>
                <w:vertAlign w:val="superscript"/>
              </w:rPr>
              <w:t>***</w:t>
            </w:r>
          </w:p>
        </w:tc>
        <w:tc>
          <w:tcPr>
            <w:tcW w:w="946" w:type="dxa"/>
            <w:vAlign w:val="center"/>
          </w:tcPr>
          <w:p w14:paraId="2662B0DB" w14:textId="5A87684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-0.015</w:t>
            </w:r>
            <w:r w:rsidRPr="00B74098">
              <w:rPr>
                <w:rFonts w:ascii="Times New Roman" w:hAnsi="Times New Roman"/>
                <w:sz w:val="18"/>
                <w:szCs w:val="18"/>
                <w:vertAlign w:val="superscript"/>
              </w:rPr>
              <w:t>***</w:t>
            </w:r>
          </w:p>
        </w:tc>
        <w:tc>
          <w:tcPr>
            <w:tcW w:w="1694" w:type="dxa"/>
          </w:tcPr>
          <w:p w14:paraId="1D863326" w14:textId="690D19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-0.013</w:t>
            </w:r>
            <w:r w:rsidRPr="00B74098">
              <w:rPr>
                <w:rFonts w:cstheme="minorHAnsi"/>
                <w:color w:val="333333"/>
                <w:sz w:val="18"/>
                <w:szCs w:val="18"/>
                <w:vertAlign w:val="superscript"/>
              </w:rPr>
              <w:t>***</w:t>
            </w:r>
            <w:r w:rsidRPr="00B74098">
              <w:rPr>
                <w:rFonts w:cstheme="minorHAnsi"/>
                <w:color w:val="333333"/>
                <w:sz w:val="18"/>
                <w:szCs w:val="18"/>
              </w:rPr>
              <w:t> (0.004)</w:t>
            </w:r>
          </w:p>
        </w:tc>
      </w:tr>
      <w:tr w:rsidR="00C36A22" w:rsidRPr="00B74098" w14:paraId="1FC02424" w14:textId="4064E95C" w:rsidTr="00B74098">
        <w:tc>
          <w:tcPr>
            <w:tcW w:w="2187" w:type="dxa"/>
            <w:hideMark/>
          </w:tcPr>
          <w:p w14:paraId="5E9D49F9" w14:textId="3E2909C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MECANICO</w:t>
            </w:r>
          </w:p>
        </w:tc>
        <w:tc>
          <w:tcPr>
            <w:tcW w:w="1694" w:type="dxa"/>
            <w:hideMark/>
          </w:tcPr>
          <w:p w14:paraId="0E34EEF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0.053 (0.052)</w:t>
            </w:r>
          </w:p>
        </w:tc>
        <w:tc>
          <w:tcPr>
            <w:tcW w:w="1106" w:type="dxa"/>
            <w:vAlign w:val="center"/>
          </w:tcPr>
          <w:p w14:paraId="2F7C4D98" w14:textId="10A8093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0.056</w:t>
            </w:r>
          </w:p>
        </w:tc>
        <w:tc>
          <w:tcPr>
            <w:tcW w:w="866" w:type="dxa"/>
            <w:vAlign w:val="center"/>
          </w:tcPr>
          <w:p w14:paraId="7CACEE2D" w14:textId="0B19594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0.053</w:t>
            </w:r>
          </w:p>
        </w:tc>
        <w:tc>
          <w:tcPr>
            <w:tcW w:w="946" w:type="dxa"/>
            <w:vAlign w:val="center"/>
          </w:tcPr>
          <w:p w14:paraId="0EBB69AC" w14:textId="62C3BE5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0.109</w:t>
            </w:r>
          </w:p>
        </w:tc>
        <w:tc>
          <w:tcPr>
            <w:tcW w:w="1694" w:type="dxa"/>
          </w:tcPr>
          <w:p w14:paraId="7A593CDE" w14:textId="3696A38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0.042 (0.060)</w:t>
            </w:r>
          </w:p>
        </w:tc>
      </w:tr>
      <w:tr w:rsidR="00C36A22" w:rsidRPr="00B74098" w14:paraId="760CAFCE" w14:textId="4C8117AB" w:rsidTr="00B74098">
        <w:tc>
          <w:tcPr>
            <w:tcW w:w="2187" w:type="dxa"/>
            <w:hideMark/>
          </w:tcPr>
          <w:p w14:paraId="29374B93" w14:textId="11394E7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LAVADO</w:t>
            </w:r>
          </w:p>
        </w:tc>
        <w:tc>
          <w:tcPr>
            <w:tcW w:w="1694" w:type="dxa"/>
            <w:hideMark/>
          </w:tcPr>
          <w:p w14:paraId="5A291B6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-0.034 (0.060)</w:t>
            </w:r>
          </w:p>
        </w:tc>
        <w:tc>
          <w:tcPr>
            <w:tcW w:w="1106" w:type="dxa"/>
            <w:vAlign w:val="center"/>
          </w:tcPr>
          <w:p w14:paraId="417D6171" w14:textId="4B5E4056"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-0.036</w:t>
            </w:r>
          </w:p>
        </w:tc>
        <w:tc>
          <w:tcPr>
            <w:tcW w:w="866" w:type="dxa"/>
            <w:vAlign w:val="center"/>
          </w:tcPr>
          <w:p w14:paraId="002D007D" w14:textId="7F5FB1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-0.034</w:t>
            </w:r>
          </w:p>
        </w:tc>
        <w:tc>
          <w:tcPr>
            <w:tcW w:w="946" w:type="dxa"/>
            <w:vAlign w:val="center"/>
          </w:tcPr>
          <w:p w14:paraId="75CB9282" w14:textId="634DB8F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-0.070</w:t>
            </w:r>
          </w:p>
        </w:tc>
        <w:tc>
          <w:tcPr>
            <w:tcW w:w="1694" w:type="dxa"/>
          </w:tcPr>
          <w:p w14:paraId="0F75E140" w14:textId="4C0D305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-0.027 (0.070)</w:t>
            </w:r>
          </w:p>
        </w:tc>
      </w:tr>
      <w:tr w:rsidR="00C36A22" w:rsidRPr="00B74098" w14:paraId="521BBDC1" w14:textId="384F1DD5" w:rsidTr="00B74098">
        <w:tc>
          <w:tcPr>
            <w:tcW w:w="2187" w:type="dxa"/>
            <w:hideMark/>
          </w:tcPr>
          <w:p w14:paraId="5FC161ED" w14:textId="0A4A6F23"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CAJERO</w:t>
            </w:r>
          </w:p>
        </w:tc>
        <w:tc>
          <w:tcPr>
            <w:tcW w:w="1694" w:type="dxa"/>
            <w:hideMark/>
          </w:tcPr>
          <w:p w14:paraId="474F8E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0.086</w:t>
            </w:r>
            <w:r w:rsidRPr="00B74098">
              <w:rPr>
                <w:rFonts w:ascii="Times New Roman" w:hAnsi="Times New Roman"/>
                <w:sz w:val="18"/>
                <w:szCs w:val="18"/>
                <w:vertAlign w:val="superscript"/>
              </w:rPr>
              <w:t>**</w:t>
            </w:r>
            <w:r w:rsidRPr="00B74098">
              <w:rPr>
                <w:rFonts w:ascii="Times New Roman" w:hAnsi="Times New Roman"/>
                <w:sz w:val="18"/>
                <w:szCs w:val="18"/>
              </w:rPr>
              <w:t> (0.042)</w:t>
            </w:r>
          </w:p>
        </w:tc>
        <w:tc>
          <w:tcPr>
            <w:tcW w:w="1106" w:type="dxa"/>
            <w:vAlign w:val="center"/>
          </w:tcPr>
          <w:p w14:paraId="39660888" w14:textId="1BAD75F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0.091</w:t>
            </w:r>
            <w:r w:rsidRPr="00B74098">
              <w:rPr>
                <w:rFonts w:ascii="Times New Roman" w:hAnsi="Times New Roman"/>
                <w:sz w:val="18"/>
                <w:szCs w:val="18"/>
                <w:vertAlign w:val="superscript"/>
              </w:rPr>
              <w:t>**</w:t>
            </w:r>
          </w:p>
        </w:tc>
        <w:tc>
          <w:tcPr>
            <w:tcW w:w="866" w:type="dxa"/>
            <w:vAlign w:val="center"/>
          </w:tcPr>
          <w:p w14:paraId="7D5F5F55" w14:textId="6EB1ADB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0.086</w:t>
            </w:r>
            <w:r w:rsidRPr="00B74098">
              <w:rPr>
                <w:rFonts w:ascii="Times New Roman" w:hAnsi="Times New Roman"/>
                <w:sz w:val="18"/>
                <w:szCs w:val="18"/>
                <w:vertAlign w:val="superscript"/>
              </w:rPr>
              <w:t>**</w:t>
            </w:r>
          </w:p>
        </w:tc>
        <w:tc>
          <w:tcPr>
            <w:tcW w:w="946" w:type="dxa"/>
            <w:vAlign w:val="center"/>
          </w:tcPr>
          <w:p w14:paraId="79CF2C8A" w14:textId="41E493D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0.178</w:t>
            </w:r>
            <w:r w:rsidRPr="00B74098">
              <w:rPr>
                <w:rFonts w:ascii="Times New Roman" w:hAnsi="Times New Roman"/>
                <w:sz w:val="18"/>
                <w:szCs w:val="18"/>
                <w:vertAlign w:val="superscript"/>
              </w:rPr>
              <w:t>**</w:t>
            </w:r>
          </w:p>
        </w:tc>
        <w:tc>
          <w:tcPr>
            <w:tcW w:w="1694" w:type="dxa"/>
          </w:tcPr>
          <w:p w14:paraId="4E383617" w14:textId="310444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0.090</w:t>
            </w:r>
            <w:r w:rsidRPr="00B74098">
              <w:rPr>
                <w:rFonts w:cstheme="minorHAnsi"/>
                <w:color w:val="333333"/>
                <w:sz w:val="18"/>
                <w:szCs w:val="18"/>
                <w:vertAlign w:val="superscript"/>
              </w:rPr>
              <w:t>*</w:t>
            </w:r>
            <w:r w:rsidRPr="00B74098">
              <w:rPr>
                <w:rFonts w:cstheme="minorHAnsi"/>
                <w:color w:val="333333"/>
                <w:sz w:val="18"/>
                <w:szCs w:val="18"/>
              </w:rPr>
              <w:t> (0.050)</w:t>
            </w:r>
          </w:p>
        </w:tc>
      </w:tr>
      <w:tr w:rsidR="00C36A22" w:rsidRPr="00B74098" w14:paraId="68AC8E47" w14:textId="5D7FF5A8" w:rsidTr="00B74098">
        <w:tc>
          <w:tcPr>
            <w:tcW w:w="2187" w:type="dxa"/>
            <w:hideMark/>
          </w:tcPr>
          <w:p w14:paraId="0D4B752D" w14:textId="73901E7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GNV</w:t>
            </w:r>
          </w:p>
        </w:tc>
        <w:tc>
          <w:tcPr>
            <w:tcW w:w="1694" w:type="dxa"/>
            <w:hideMark/>
          </w:tcPr>
          <w:p w14:paraId="3333E3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-0.064 (0.044)</w:t>
            </w:r>
          </w:p>
        </w:tc>
        <w:tc>
          <w:tcPr>
            <w:tcW w:w="1106" w:type="dxa"/>
            <w:vAlign w:val="center"/>
          </w:tcPr>
          <w:p w14:paraId="3EB615AE" w14:textId="0CBA3D6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-0.068</w:t>
            </w:r>
          </w:p>
        </w:tc>
        <w:tc>
          <w:tcPr>
            <w:tcW w:w="866" w:type="dxa"/>
            <w:vAlign w:val="center"/>
          </w:tcPr>
          <w:p w14:paraId="7DECA946" w14:textId="399B4EA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-0.064</w:t>
            </w:r>
          </w:p>
        </w:tc>
        <w:tc>
          <w:tcPr>
            <w:tcW w:w="946" w:type="dxa"/>
            <w:vAlign w:val="center"/>
          </w:tcPr>
          <w:p w14:paraId="62048EEA" w14:textId="34AD4E9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-0.132</w:t>
            </w:r>
          </w:p>
        </w:tc>
        <w:tc>
          <w:tcPr>
            <w:tcW w:w="1694" w:type="dxa"/>
          </w:tcPr>
          <w:p w14:paraId="11001E0D" w14:textId="0BC327F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-0.050 (0.051)</w:t>
            </w:r>
          </w:p>
        </w:tc>
      </w:tr>
      <w:tr w:rsidR="00C36A22" w:rsidRPr="00B74098" w14:paraId="3D593634" w14:textId="4C8DA167" w:rsidTr="00B74098">
        <w:tc>
          <w:tcPr>
            <w:tcW w:w="2187" w:type="dxa"/>
            <w:hideMark/>
          </w:tcPr>
          <w:p w14:paraId="3EDB2AA3" w14:textId="2050276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GLP</w:t>
            </w:r>
          </w:p>
        </w:tc>
        <w:tc>
          <w:tcPr>
            <w:tcW w:w="1694" w:type="dxa"/>
            <w:hideMark/>
          </w:tcPr>
          <w:p w14:paraId="7E37CA4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0.029 (0.043)</w:t>
            </w:r>
          </w:p>
        </w:tc>
        <w:tc>
          <w:tcPr>
            <w:tcW w:w="1106" w:type="dxa"/>
            <w:vAlign w:val="center"/>
          </w:tcPr>
          <w:p w14:paraId="12713613" w14:textId="0F7A8CE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0.031</w:t>
            </w:r>
          </w:p>
        </w:tc>
        <w:tc>
          <w:tcPr>
            <w:tcW w:w="866" w:type="dxa"/>
            <w:vAlign w:val="center"/>
          </w:tcPr>
          <w:p w14:paraId="1D5B57FA" w14:textId="2D6F3E4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0.029</w:t>
            </w:r>
          </w:p>
        </w:tc>
        <w:tc>
          <w:tcPr>
            <w:tcW w:w="946" w:type="dxa"/>
            <w:vAlign w:val="center"/>
          </w:tcPr>
          <w:p w14:paraId="60164FD5" w14:textId="1A266F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0.060</w:t>
            </w:r>
          </w:p>
        </w:tc>
        <w:tc>
          <w:tcPr>
            <w:tcW w:w="1694" w:type="dxa"/>
          </w:tcPr>
          <w:p w14:paraId="7075CD99" w14:textId="58E0813F"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0.010 (0.050)</w:t>
            </w:r>
          </w:p>
        </w:tc>
      </w:tr>
      <w:tr w:rsidR="00C36A22" w:rsidRPr="00B74098" w14:paraId="45438426" w14:textId="725D56F9" w:rsidTr="00B74098">
        <w:tc>
          <w:tcPr>
            <w:tcW w:w="2187" w:type="dxa"/>
            <w:hideMark/>
          </w:tcPr>
          <w:p w14:paraId="22814C53" w14:textId="67C598E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INGRESO</w:t>
            </w:r>
          </w:p>
        </w:tc>
        <w:tc>
          <w:tcPr>
            <w:tcW w:w="1694" w:type="dxa"/>
            <w:hideMark/>
          </w:tcPr>
          <w:p w14:paraId="5B00B599"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0.404</w:t>
            </w:r>
            <w:r w:rsidRPr="00B74098">
              <w:rPr>
                <w:rFonts w:ascii="Times New Roman" w:hAnsi="Times New Roman"/>
                <w:sz w:val="18"/>
                <w:szCs w:val="18"/>
                <w:vertAlign w:val="superscript"/>
              </w:rPr>
              <w:t>***</w:t>
            </w:r>
            <w:r w:rsidRPr="00B74098">
              <w:rPr>
                <w:rFonts w:ascii="Times New Roman" w:hAnsi="Times New Roman"/>
                <w:sz w:val="18"/>
                <w:szCs w:val="18"/>
              </w:rPr>
              <w:t> (0.117)</w:t>
            </w:r>
          </w:p>
        </w:tc>
        <w:tc>
          <w:tcPr>
            <w:tcW w:w="1106" w:type="dxa"/>
            <w:vAlign w:val="center"/>
          </w:tcPr>
          <w:p w14:paraId="18281E77" w14:textId="224E970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0.428</w:t>
            </w:r>
            <w:r w:rsidRPr="00B74098">
              <w:rPr>
                <w:rFonts w:ascii="Times New Roman" w:hAnsi="Times New Roman"/>
                <w:sz w:val="18"/>
                <w:szCs w:val="18"/>
                <w:vertAlign w:val="superscript"/>
              </w:rPr>
              <w:t>***</w:t>
            </w:r>
          </w:p>
        </w:tc>
        <w:tc>
          <w:tcPr>
            <w:tcW w:w="866" w:type="dxa"/>
            <w:vAlign w:val="center"/>
          </w:tcPr>
          <w:p w14:paraId="57DB141A" w14:textId="40720FB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0.404</w:t>
            </w:r>
            <w:r w:rsidRPr="00B74098">
              <w:rPr>
                <w:rFonts w:ascii="Times New Roman" w:hAnsi="Times New Roman"/>
                <w:sz w:val="18"/>
                <w:szCs w:val="18"/>
                <w:vertAlign w:val="superscript"/>
              </w:rPr>
              <w:t>***</w:t>
            </w:r>
          </w:p>
        </w:tc>
        <w:tc>
          <w:tcPr>
            <w:tcW w:w="946" w:type="dxa"/>
            <w:vAlign w:val="center"/>
          </w:tcPr>
          <w:p w14:paraId="7F6CF476" w14:textId="2533C72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0.832</w:t>
            </w:r>
            <w:r w:rsidRPr="00B74098">
              <w:rPr>
                <w:rFonts w:ascii="Times New Roman" w:hAnsi="Times New Roman"/>
                <w:sz w:val="18"/>
                <w:szCs w:val="18"/>
                <w:vertAlign w:val="superscript"/>
              </w:rPr>
              <w:t>***</w:t>
            </w:r>
          </w:p>
        </w:tc>
        <w:tc>
          <w:tcPr>
            <w:tcW w:w="1694" w:type="dxa"/>
          </w:tcPr>
          <w:p w14:paraId="01DE79FC" w14:textId="37CB444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0.954</w:t>
            </w:r>
            <w:r w:rsidRPr="00B74098">
              <w:rPr>
                <w:rFonts w:cstheme="minorHAnsi"/>
                <w:color w:val="333333"/>
                <w:sz w:val="18"/>
                <w:szCs w:val="18"/>
                <w:vertAlign w:val="superscript"/>
              </w:rPr>
              <w:t>***</w:t>
            </w:r>
            <w:r w:rsidRPr="00B74098">
              <w:rPr>
                <w:rFonts w:cstheme="minorHAnsi"/>
                <w:color w:val="333333"/>
                <w:sz w:val="18"/>
                <w:szCs w:val="18"/>
              </w:rPr>
              <w:t> (0.123)</w:t>
            </w:r>
          </w:p>
        </w:tc>
      </w:tr>
      <w:tr w:rsidR="00C36A22" w:rsidRPr="00B74098" w14:paraId="56C051FD" w14:textId="4EFA5ED6" w:rsidTr="00B74098">
        <w:tc>
          <w:tcPr>
            <w:tcW w:w="2187" w:type="dxa"/>
            <w:hideMark/>
          </w:tcPr>
          <w:p w14:paraId="4A319047" w14:textId="64C607B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DENPOB</w:t>
            </w:r>
          </w:p>
        </w:tc>
        <w:tc>
          <w:tcPr>
            <w:tcW w:w="1694" w:type="dxa"/>
            <w:hideMark/>
          </w:tcPr>
          <w:p w14:paraId="1BB3AB53"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-0.00000 (0.00000)</w:t>
            </w:r>
          </w:p>
        </w:tc>
        <w:tc>
          <w:tcPr>
            <w:tcW w:w="1106" w:type="dxa"/>
            <w:vAlign w:val="center"/>
          </w:tcPr>
          <w:p w14:paraId="76AD150F" w14:textId="57435DC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866" w:type="dxa"/>
            <w:vAlign w:val="center"/>
          </w:tcPr>
          <w:p w14:paraId="131404C3" w14:textId="7BED94B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946" w:type="dxa"/>
            <w:vAlign w:val="center"/>
          </w:tcPr>
          <w:p w14:paraId="0CEFBF14" w14:textId="6EAFBEC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1694" w:type="dxa"/>
          </w:tcPr>
          <w:p w14:paraId="76150A9D" w14:textId="68A86AE5" w:rsidR="00C36A22" w:rsidRPr="00B74098" w:rsidRDefault="00C36A22" w:rsidP="00B74098">
            <w:pPr>
              <w:spacing w:after="0" w:line="240" w:lineRule="auto"/>
              <w:jc w:val="center"/>
              <w:rPr>
                <w:rFonts w:cstheme="minorHAnsi"/>
                <w:sz w:val="18"/>
                <w:szCs w:val="18"/>
              </w:rPr>
            </w:pPr>
            <w:r w:rsidRPr="00B74098">
              <w:rPr>
                <w:rFonts w:cstheme="minorHAnsi"/>
                <w:color w:val="333333"/>
                <w:sz w:val="18"/>
                <w:szCs w:val="18"/>
              </w:rPr>
              <w:t>-0.00001</w:t>
            </w:r>
            <w:r w:rsidRPr="00B74098">
              <w:rPr>
                <w:rFonts w:cstheme="minorHAnsi"/>
                <w:color w:val="333333"/>
                <w:sz w:val="18"/>
                <w:szCs w:val="18"/>
                <w:vertAlign w:val="superscript"/>
              </w:rPr>
              <w:t>**</w:t>
            </w:r>
            <w:r w:rsidRPr="00B74098">
              <w:rPr>
                <w:rFonts w:cstheme="minorHAnsi"/>
                <w:color w:val="333333"/>
                <w:sz w:val="18"/>
                <w:szCs w:val="18"/>
              </w:rPr>
              <w:t> (0.0000)</w:t>
            </w:r>
          </w:p>
        </w:tc>
      </w:tr>
      <w:tr w:rsidR="00C36A22" w:rsidRPr="00B74098" w14:paraId="53FF39A2" w14:textId="204515D5" w:rsidTr="00B74098">
        <w:tc>
          <w:tcPr>
            <w:tcW w:w="2187" w:type="dxa"/>
            <w:hideMark/>
          </w:tcPr>
          <w:p w14:paraId="2B1631A6" w14:textId="3260361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Constante</w:t>
            </w:r>
          </w:p>
        </w:tc>
        <w:tc>
          <w:tcPr>
            <w:tcW w:w="1694" w:type="dxa"/>
            <w:hideMark/>
          </w:tcPr>
          <w:p w14:paraId="029973E1"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5.227</w:t>
            </w:r>
            <w:r w:rsidRPr="00B74098">
              <w:rPr>
                <w:rFonts w:ascii="Times New Roman" w:hAnsi="Times New Roman"/>
                <w:sz w:val="18"/>
                <w:szCs w:val="18"/>
                <w:vertAlign w:val="superscript"/>
              </w:rPr>
              <w:t>***</w:t>
            </w:r>
            <w:r w:rsidRPr="00B74098">
              <w:rPr>
                <w:rFonts w:ascii="Times New Roman" w:hAnsi="Times New Roman"/>
                <w:sz w:val="18"/>
                <w:szCs w:val="18"/>
              </w:rPr>
              <w:t> (0.549)</w:t>
            </w:r>
          </w:p>
        </w:tc>
        <w:tc>
          <w:tcPr>
            <w:tcW w:w="1106" w:type="dxa"/>
          </w:tcPr>
          <w:p w14:paraId="52E94A01"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701DD40F" w14:textId="690DD676" w:rsidR="00C36A22" w:rsidRPr="00B74098" w:rsidRDefault="00C36A22" w:rsidP="00C36A22">
            <w:pPr>
              <w:spacing w:after="0" w:line="240" w:lineRule="auto"/>
              <w:jc w:val="center"/>
              <w:rPr>
                <w:rFonts w:ascii="Times New Roman" w:hAnsi="Times New Roman"/>
                <w:sz w:val="18"/>
                <w:szCs w:val="18"/>
              </w:rPr>
            </w:pPr>
          </w:p>
        </w:tc>
        <w:tc>
          <w:tcPr>
            <w:tcW w:w="946" w:type="dxa"/>
          </w:tcPr>
          <w:p w14:paraId="6E6081FE" w14:textId="020760EB" w:rsidR="00C36A22" w:rsidRPr="00B74098" w:rsidRDefault="00C36A22" w:rsidP="00C36A22">
            <w:pPr>
              <w:spacing w:after="0" w:line="240" w:lineRule="auto"/>
              <w:jc w:val="center"/>
              <w:rPr>
                <w:rFonts w:ascii="Times New Roman" w:hAnsi="Times New Roman"/>
                <w:sz w:val="18"/>
                <w:szCs w:val="18"/>
              </w:rPr>
            </w:pPr>
          </w:p>
        </w:tc>
        <w:tc>
          <w:tcPr>
            <w:tcW w:w="1694" w:type="dxa"/>
          </w:tcPr>
          <w:p w14:paraId="15635C55"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6980FD4" w14:textId="1FD9D517" w:rsidTr="00B74098">
        <w:tc>
          <w:tcPr>
            <w:tcW w:w="2187" w:type="dxa"/>
          </w:tcPr>
          <w:p w14:paraId="44B8352B" w14:textId="01859605" w:rsidR="00C36A22" w:rsidRPr="00B74098" w:rsidRDefault="00C36A22" w:rsidP="00B74098">
            <w:pPr>
              <w:spacing w:after="0" w:line="240" w:lineRule="auto"/>
              <w:jc w:val="left"/>
              <w:rPr>
                <w:rFonts w:cstheme="minorHAnsi"/>
                <w:color w:val="333333"/>
                <w:sz w:val="18"/>
                <w:szCs w:val="18"/>
              </w:rPr>
            </w:pPr>
            <m:oMath>
              <m:r>
                <w:rPr>
                  <w:rFonts w:ascii="Cambria Math" w:hAnsi="Cambria Math" w:cstheme="minorHAnsi"/>
                  <w:color w:val="333333"/>
                  <w:sz w:val="18"/>
                  <w:szCs w:val="18"/>
                </w:rPr>
                <m:t>ρ</m:t>
              </m:r>
            </m:oMath>
            <w:r w:rsidRPr="00B74098">
              <w:rPr>
                <w:rFonts w:cstheme="minorHAnsi"/>
                <w:color w:val="333333"/>
                <w:sz w:val="18"/>
                <w:szCs w:val="18"/>
              </w:rPr>
              <w:t xml:space="preserve"> [p-</w:t>
            </w:r>
            <w:r w:rsidR="00B74098">
              <w:rPr>
                <w:rFonts w:cstheme="minorHAnsi"/>
                <w:color w:val="333333"/>
                <w:sz w:val="18"/>
                <w:szCs w:val="18"/>
              </w:rPr>
              <w:t>valor</w:t>
            </w:r>
            <w:r w:rsidRPr="00B74098">
              <w:rPr>
                <w:rFonts w:cstheme="minorHAnsi"/>
                <w:color w:val="333333"/>
                <w:sz w:val="18"/>
                <w:szCs w:val="18"/>
              </w:rPr>
              <w:t xml:space="preserve">] </w:t>
            </w:r>
            <w:r w:rsidR="00B74098" w:rsidRPr="00B74098">
              <w:rPr>
                <w:rFonts w:cstheme="minorHAnsi"/>
                <w:color w:val="333333"/>
                <w:sz w:val="18"/>
                <w:szCs w:val="18"/>
              </w:rPr>
              <w:t xml:space="preserve">(ponderador espacial </w:t>
            </w:r>
            <w:r w:rsidRPr="00B74098">
              <w:rPr>
                <w:rFonts w:cstheme="minorHAnsi"/>
                <w:color w:val="333333"/>
                <w:sz w:val="18"/>
                <w:szCs w:val="18"/>
              </w:rPr>
              <w:t xml:space="preserve">de la variable </w:t>
            </w:r>
            <w:proofErr w:type="spellStart"/>
            <w:r w:rsidRPr="00B74098">
              <w:rPr>
                <w:rFonts w:cstheme="minorHAnsi"/>
                <w:color w:val="333333"/>
                <w:sz w:val="18"/>
                <w:szCs w:val="18"/>
              </w:rPr>
              <w:t>dep</w:t>
            </w:r>
            <w:proofErr w:type="spellEnd"/>
            <w:r w:rsidRPr="00B74098">
              <w:rPr>
                <w:rFonts w:cstheme="minorHAnsi"/>
                <w:color w:val="333333"/>
                <w:sz w:val="18"/>
                <w:szCs w:val="18"/>
              </w:rPr>
              <w:t>.)</w:t>
            </w:r>
          </w:p>
        </w:tc>
        <w:tc>
          <w:tcPr>
            <w:tcW w:w="1694" w:type="dxa"/>
          </w:tcPr>
          <w:p w14:paraId="42648D93" w14:textId="2731FD8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0.51441</w:t>
            </w:r>
            <w:r w:rsidRPr="00B74098">
              <w:rPr>
                <w:rFonts w:ascii="Times New Roman" w:hAnsi="Times New Roman"/>
                <w:sz w:val="18"/>
                <w:szCs w:val="18"/>
                <w:vertAlign w:val="superscript"/>
              </w:rPr>
              <w:t>***</w:t>
            </w:r>
            <w:r w:rsidRPr="00B74098">
              <w:rPr>
                <w:rFonts w:ascii="Times New Roman" w:hAnsi="Times New Roman"/>
                <w:sz w:val="18"/>
                <w:szCs w:val="18"/>
              </w:rPr>
              <w:t>[0.0000]</w:t>
            </w:r>
          </w:p>
        </w:tc>
        <w:tc>
          <w:tcPr>
            <w:tcW w:w="1106" w:type="dxa"/>
          </w:tcPr>
          <w:p w14:paraId="6655E52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6CB6FDCE" w14:textId="5AC8D9BC" w:rsidR="00C36A22" w:rsidRPr="00B74098" w:rsidRDefault="00C36A22" w:rsidP="00C36A22">
            <w:pPr>
              <w:spacing w:after="0" w:line="240" w:lineRule="auto"/>
              <w:jc w:val="center"/>
              <w:rPr>
                <w:rFonts w:ascii="Times New Roman" w:hAnsi="Times New Roman"/>
                <w:sz w:val="18"/>
                <w:szCs w:val="18"/>
              </w:rPr>
            </w:pPr>
          </w:p>
        </w:tc>
        <w:tc>
          <w:tcPr>
            <w:tcW w:w="946" w:type="dxa"/>
          </w:tcPr>
          <w:p w14:paraId="38A99785" w14:textId="435D4899" w:rsidR="00C36A22" w:rsidRPr="00B74098" w:rsidRDefault="00C36A22" w:rsidP="00C36A22">
            <w:pPr>
              <w:spacing w:after="0" w:line="240" w:lineRule="auto"/>
              <w:jc w:val="center"/>
              <w:rPr>
                <w:rFonts w:ascii="Times New Roman" w:hAnsi="Times New Roman"/>
                <w:sz w:val="18"/>
                <w:szCs w:val="18"/>
              </w:rPr>
            </w:pPr>
          </w:p>
        </w:tc>
        <w:tc>
          <w:tcPr>
            <w:tcW w:w="1694" w:type="dxa"/>
          </w:tcPr>
          <w:p w14:paraId="02D08D47"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DF6C5E0" w14:textId="15C89FEE" w:rsidTr="00B74098">
        <w:tc>
          <w:tcPr>
            <w:tcW w:w="2187" w:type="dxa"/>
            <w:hideMark/>
          </w:tcPr>
          <w:p w14:paraId="1AAEAB0D" w14:textId="11828D92" w:rsidR="00C36A22" w:rsidRPr="00B74098" w:rsidRDefault="00B74098" w:rsidP="00C36A22">
            <w:pPr>
              <w:spacing w:after="0" w:line="240" w:lineRule="auto"/>
              <w:jc w:val="left"/>
              <w:rPr>
                <w:rFonts w:ascii="Times New Roman" w:hAnsi="Times New Roman"/>
                <w:sz w:val="18"/>
                <w:szCs w:val="18"/>
              </w:rPr>
            </w:pPr>
            <w:r>
              <w:rPr>
                <w:rFonts w:ascii="Times New Roman" w:hAnsi="Times New Roman"/>
                <w:sz w:val="18"/>
                <w:szCs w:val="18"/>
              </w:rPr>
              <w:t>Observaciones</w:t>
            </w:r>
          </w:p>
        </w:tc>
        <w:tc>
          <w:tcPr>
            <w:tcW w:w="1694" w:type="dxa"/>
            <w:hideMark/>
          </w:tcPr>
          <w:p w14:paraId="3B2C4F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436</w:t>
            </w:r>
          </w:p>
        </w:tc>
        <w:tc>
          <w:tcPr>
            <w:tcW w:w="1106" w:type="dxa"/>
          </w:tcPr>
          <w:p w14:paraId="78FEDFB3"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3D189855" w14:textId="06C84E34" w:rsidTr="00B74098">
        <w:tc>
          <w:tcPr>
            <w:tcW w:w="2187" w:type="dxa"/>
            <w:hideMark/>
          </w:tcPr>
          <w:p w14:paraId="6F11F0AC" w14:textId="77777777" w:rsidR="00C36A22" w:rsidRPr="00B74098" w:rsidRDefault="00C36A22" w:rsidP="00C36A22">
            <w:pPr>
              <w:spacing w:after="0" w:line="240" w:lineRule="auto"/>
              <w:jc w:val="left"/>
              <w:rPr>
                <w:rFonts w:ascii="Times New Roman" w:hAnsi="Times New Roman"/>
                <w:sz w:val="18"/>
                <w:szCs w:val="18"/>
              </w:rPr>
            </w:pPr>
            <w:r w:rsidRPr="00B74098">
              <w:rPr>
                <w:rFonts w:ascii="Times New Roman" w:hAnsi="Times New Roman"/>
                <w:sz w:val="18"/>
                <w:szCs w:val="18"/>
              </w:rPr>
              <w:t xml:space="preserve">Log </w:t>
            </w:r>
            <w:proofErr w:type="spellStart"/>
            <w:r w:rsidRPr="00B74098">
              <w:rPr>
                <w:rFonts w:ascii="Times New Roman" w:hAnsi="Times New Roman"/>
                <w:sz w:val="18"/>
                <w:szCs w:val="18"/>
              </w:rPr>
              <w:t>Likelihood</w:t>
            </w:r>
            <w:proofErr w:type="spellEnd"/>
          </w:p>
        </w:tc>
        <w:tc>
          <w:tcPr>
            <w:tcW w:w="1694" w:type="dxa"/>
            <w:hideMark/>
          </w:tcPr>
          <w:p w14:paraId="581BC9C6"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-181.635</w:t>
            </w:r>
          </w:p>
        </w:tc>
        <w:tc>
          <w:tcPr>
            <w:tcW w:w="1106" w:type="dxa"/>
          </w:tcPr>
          <w:p w14:paraId="6DA806D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rFonts w:ascii="Times New Roman" w:hAnsi="Times New Roman"/>
                <w:sz w:val="18"/>
                <w:szCs w:val="18"/>
              </w:rPr>
            </w:pPr>
          </w:p>
        </w:tc>
      </w:tr>
      <w:tr w:rsidR="00B74098" w:rsidRPr="00B74098" w14:paraId="46B80B91" w14:textId="65FEAA95" w:rsidTr="000E1B51">
        <w:tc>
          <w:tcPr>
            <w:tcW w:w="2187" w:type="dxa"/>
            <w:hideMark/>
          </w:tcPr>
          <w:p w14:paraId="40769AAC" w14:textId="61648359" w:rsidR="00B74098" w:rsidRPr="00B74098" w:rsidRDefault="00B74098" w:rsidP="00C36A22">
            <w:pPr>
              <w:spacing w:after="0" w:line="240" w:lineRule="auto"/>
              <w:jc w:val="left"/>
              <w:rPr>
                <w:rFonts w:ascii="Times New Roman" w:hAnsi="Times New Roman"/>
                <w:sz w:val="18"/>
                <w:szCs w:val="18"/>
              </w:rPr>
            </w:pPr>
            <w:r>
              <w:rPr>
                <w:rFonts w:ascii="Times New Roman" w:hAnsi="Times New Roman"/>
                <w:i/>
                <w:iCs/>
                <w:sz w:val="18"/>
                <w:szCs w:val="18"/>
              </w:rPr>
              <w:t>Nota:</w:t>
            </w:r>
          </w:p>
        </w:tc>
        <w:tc>
          <w:tcPr>
            <w:tcW w:w="6306" w:type="dxa"/>
            <w:gridSpan w:val="5"/>
            <w:hideMark/>
          </w:tcPr>
          <w:p w14:paraId="6D2E85AE" w14:textId="77777777" w:rsidR="00B74098" w:rsidRDefault="00B74098" w:rsidP="00C36A22">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75E2FE93" w14:textId="618C86D1" w:rsidR="00E1384B" w:rsidRPr="00B74098" w:rsidRDefault="00E1384B" w:rsidP="00BD2C42">
            <w:pPr>
              <w:spacing w:after="0" w:line="240" w:lineRule="auto"/>
              <w:jc w:val="right"/>
              <w:rPr>
                <w:rFonts w:ascii="Times New Roman" w:hAnsi="Times New Roman"/>
                <w:sz w:val="18"/>
                <w:szCs w:val="18"/>
                <w:vertAlign w:val="superscript"/>
              </w:rPr>
            </w:pPr>
            <w:r>
              <w:rPr>
                <w:rFonts w:ascii="Times New Roman" w:hAnsi="Times New Roman"/>
                <w:sz w:val="18"/>
                <w:szCs w:val="18"/>
              </w:rPr>
              <w:t>Errores estándares en paréntesis</w:t>
            </w:r>
            <w:r w:rsidR="00BD2C42">
              <w:rPr>
                <w:rFonts w:ascii="Times New Roman" w:hAnsi="Times New Roman"/>
                <w:sz w:val="18"/>
                <w:szCs w:val="18"/>
              </w:rPr>
              <w:t>.</w:t>
            </w:r>
          </w:p>
        </w:tc>
      </w:tr>
    </w:tbl>
    <w:p w14:paraId="412D8E8C" w14:textId="42F80A15" w:rsidR="00C14D1B" w:rsidRDefault="00C14D1B" w:rsidP="00F752E8">
      <w:pPr>
        <w:rPr>
          <w:lang w:val="es-ES"/>
        </w:rPr>
      </w:pPr>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560D5E">
        <w:t xml:space="preserve">Tabla </w:t>
      </w:r>
      <w:r w:rsidR="00560D5E">
        <w:rPr>
          <w:noProof/>
        </w:rPr>
        <w:t>6</w:t>
      </w:r>
      <w:r>
        <w:rPr>
          <w:lang w:val="es-ES"/>
        </w:rPr>
        <w:fldChar w:fldCharType="end"/>
      </w:r>
      <w:r>
        <w:rPr>
          <w:lang w:val="es-ES"/>
        </w:rPr>
        <w:t xml:space="preserve"> reporta los resultados del modelo autoregresivo espacial para el corte de junio-18.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p>
    <w:p w14:paraId="4906E229" w14:textId="78924FCD" w:rsidR="009A3452" w:rsidRDefault="009A3452" w:rsidP="009A3452">
      <w:pPr>
        <w:pStyle w:val="Ttulo2"/>
        <w:rPr>
          <w:lang w:val="es-ES"/>
        </w:rPr>
      </w:pPr>
      <w:bookmarkStart w:id="45" w:name="_Toc6348730"/>
      <w:r>
        <w:rPr>
          <w:lang w:val="es-ES"/>
        </w:rPr>
        <w:lastRenderedPageBreak/>
        <w:t>Estimación por efectos fijos</w:t>
      </w:r>
      <w:bookmarkEnd w:id="45"/>
    </w:p>
    <w:p w14:paraId="200C556C" w14:textId="666902E9"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7 centavos de sol menos en promedio luego de la compra. </w:t>
      </w:r>
      <w:r w:rsidR="00A314E8">
        <w:rPr>
          <w:lang w:val="es-ES"/>
        </w:rPr>
        <w:t>Sin embargo, cuando se considera mayor tiempo luego de la adquisición, el efecto de la compra se vuelve positivo y significativo al 1%, con las estaciones compradas incrementando su precio en 9 centavos por galón en promedio.</w:t>
      </w:r>
    </w:p>
    <w:p w14:paraId="1792C4FC" w14:textId="35789140" w:rsidR="009A3452" w:rsidRDefault="009A3452" w:rsidP="009A3452">
      <w:pPr>
        <w:pStyle w:val="Descripcin"/>
        <w:keepNext/>
      </w:pPr>
      <w:bookmarkStart w:id="46" w:name="_Ref6347319"/>
      <w:bookmarkStart w:id="47" w:name="_Toc6348802"/>
      <w:r>
        <w:t xml:space="preserve">Tabla </w:t>
      </w:r>
      <w:r>
        <w:fldChar w:fldCharType="begin"/>
      </w:r>
      <w:r>
        <w:instrText xml:space="preserve"> SEQ Tabla \* ARABIC </w:instrText>
      </w:r>
      <w:r>
        <w:fldChar w:fldCharType="separate"/>
      </w:r>
      <w:r w:rsidR="00560D5E">
        <w:rPr>
          <w:noProof/>
        </w:rPr>
        <w:t>7</w:t>
      </w:r>
      <w:r>
        <w:fldChar w:fldCharType="end"/>
      </w:r>
      <w:bookmarkEnd w:id="46"/>
      <w:r>
        <w:t>: Estimación por efectos fijos a nivel de estación y de tiempo</w:t>
      </w:r>
      <w:bookmarkEnd w:id="47"/>
    </w:p>
    <w:tbl>
      <w:tblPr>
        <w:tblStyle w:val="Cuadrculadetablaclara"/>
        <w:tblW w:w="6599" w:type="dxa"/>
        <w:jc w:val="center"/>
        <w:tblLook w:val="04A0" w:firstRow="1" w:lastRow="0" w:firstColumn="1" w:lastColumn="0" w:noHBand="0" w:noVBand="1"/>
      </w:tblPr>
      <w:tblGrid>
        <w:gridCol w:w="2174"/>
        <w:gridCol w:w="1106"/>
        <w:gridCol w:w="1106"/>
        <w:gridCol w:w="1106"/>
        <w:gridCol w:w="1107"/>
      </w:tblGrid>
      <w:tr w:rsidR="009A3452" w:rsidRPr="00E8719E" w14:paraId="3CEE9367" w14:textId="77777777" w:rsidTr="009A3452">
        <w:trPr>
          <w:trHeight w:val="255"/>
          <w:jc w:val="center"/>
        </w:trPr>
        <w:tc>
          <w:tcPr>
            <w:tcW w:w="0" w:type="auto"/>
            <w:hideMark/>
          </w:tcPr>
          <w:p w14:paraId="0F601108"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Variables explicativas</w:t>
            </w:r>
          </w:p>
        </w:tc>
        <w:tc>
          <w:tcPr>
            <w:tcW w:w="1106" w:type="dxa"/>
            <w:hideMark/>
          </w:tcPr>
          <w:p w14:paraId="737A07C4"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6" w:type="dxa"/>
            <w:tcBorders>
              <w:bottom w:val="single" w:sz="4" w:space="0" w:color="BFBFBF" w:themeColor="background1" w:themeShade="BF"/>
              <w:right w:val="single" w:sz="8" w:space="0" w:color="auto"/>
            </w:tcBorders>
            <w:hideMark/>
          </w:tcPr>
          <w:p w14:paraId="2B88DC52" w14:textId="77777777" w:rsidR="009A3452" w:rsidRPr="00F2093F" w:rsidRDefault="009A3452" w:rsidP="00DA18E1">
            <w:pPr>
              <w:keepNext/>
              <w:spacing w:after="0" w:line="240" w:lineRule="auto"/>
              <w:jc w:val="left"/>
              <w:rPr>
                <w:rFonts w:asciiTheme="majorHAnsi" w:hAnsiTheme="majorHAnsi" w:cstheme="majorHAnsi"/>
                <w:sz w:val="18"/>
                <w:szCs w:val="18"/>
              </w:rPr>
            </w:pPr>
          </w:p>
        </w:tc>
        <w:tc>
          <w:tcPr>
            <w:tcW w:w="1106" w:type="dxa"/>
            <w:tcBorders>
              <w:left w:val="single" w:sz="8" w:space="0" w:color="auto"/>
            </w:tcBorders>
          </w:tcPr>
          <w:p w14:paraId="3C7901D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7" w:type="dxa"/>
          </w:tcPr>
          <w:p w14:paraId="09487CF6" w14:textId="77777777" w:rsidR="009A3452" w:rsidRPr="00E8719E" w:rsidRDefault="009A3452" w:rsidP="00DA18E1">
            <w:pPr>
              <w:keepNext/>
              <w:spacing w:after="0" w:line="240" w:lineRule="auto"/>
              <w:jc w:val="left"/>
              <w:rPr>
                <w:rFonts w:asciiTheme="majorHAnsi" w:hAnsiTheme="majorHAnsi" w:cstheme="majorHAnsi"/>
                <w:sz w:val="18"/>
                <w:szCs w:val="18"/>
              </w:rPr>
            </w:pPr>
          </w:p>
        </w:tc>
      </w:tr>
      <w:tr w:rsidR="009A3452" w:rsidRPr="00E8719E" w14:paraId="069145E2" w14:textId="77777777" w:rsidTr="009A3452">
        <w:trPr>
          <w:trHeight w:val="255"/>
          <w:jc w:val="center"/>
        </w:trPr>
        <w:tc>
          <w:tcPr>
            <w:tcW w:w="0" w:type="auto"/>
            <w:hideMark/>
          </w:tcPr>
          <w:p w14:paraId="2799AC70"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E8719E">
              <w:rPr>
                <w:rFonts w:asciiTheme="majorHAnsi" w:hAnsiTheme="majorHAnsi" w:cstheme="majorHAnsi"/>
                <w:sz w:val="18"/>
                <w:szCs w:val="18"/>
              </w:rPr>
              <w:t>Primax</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4D790C3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-0.0754</w:t>
            </w:r>
            <w:r w:rsidRPr="00E8719E">
              <w:rPr>
                <w:rFonts w:asciiTheme="majorHAnsi" w:hAnsiTheme="majorHAnsi" w:cstheme="majorHAnsi"/>
                <w:sz w:val="18"/>
                <w:szCs w:val="18"/>
                <w:vertAlign w:val="superscript"/>
              </w:rPr>
              <w:t>**</w:t>
            </w:r>
            <w:r w:rsidRPr="00E8719E">
              <w:rPr>
                <w:rFonts w:asciiTheme="majorHAnsi" w:hAnsiTheme="majorHAnsi" w:cstheme="majorHAnsi"/>
                <w:sz w:val="18"/>
                <w:szCs w:val="18"/>
              </w:rPr>
              <w:t xml:space="preserve"> </w:t>
            </w:r>
          </w:p>
        </w:tc>
        <w:tc>
          <w:tcPr>
            <w:tcW w:w="1106" w:type="dxa"/>
            <w:tcBorders>
              <w:left w:val="nil"/>
              <w:right w:val="single" w:sz="8" w:space="0" w:color="auto"/>
            </w:tcBorders>
            <w:hideMark/>
          </w:tcPr>
          <w:p w14:paraId="37D79245"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w:t>
            </w:r>
            <w:r w:rsidRPr="00F2093F">
              <w:rPr>
                <w:rFonts w:asciiTheme="majorHAnsi" w:hAnsiTheme="majorHAnsi" w:cstheme="majorHAnsi"/>
                <w:sz w:val="18"/>
                <w:szCs w:val="18"/>
              </w:rPr>
              <w:t>0.0257</w:t>
            </w:r>
            <w:r w:rsidRPr="00E8719E">
              <w:rPr>
                <w:rFonts w:asciiTheme="majorHAnsi" w:hAnsiTheme="majorHAnsi" w:cstheme="majorHAnsi"/>
                <w:sz w:val="18"/>
                <w:szCs w:val="18"/>
              </w:rPr>
              <w:t>)</w:t>
            </w:r>
          </w:p>
        </w:tc>
        <w:tc>
          <w:tcPr>
            <w:tcW w:w="1106" w:type="dxa"/>
            <w:tcBorders>
              <w:left w:val="single" w:sz="8" w:space="0" w:color="auto"/>
            </w:tcBorders>
            <w:vAlign w:val="center"/>
          </w:tcPr>
          <w:p w14:paraId="6413428C"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0.0903</w:t>
            </w:r>
            <w:r w:rsidRPr="00E8719E">
              <w:rPr>
                <w:rFonts w:asciiTheme="majorHAnsi" w:hAnsiTheme="majorHAnsi" w:cstheme="majorHAnsi"/>
                <w:sz w:val="18"/>
                <w:szCs w:val="18"/>
                <w:vertAlign w:val="superscript"/>
              </w:rPr>
              <w:t>***</w:t>
            </w:r>
          </w:p>
        </w:tc>
        <w:tc>
          <w:tcPr>
            <w:tcW w:w="1107" w:type="dxa"/>
            <w:vAlign w:val="center"/>
          </w:tcPr>
          <w:p w14:paraId="51ECDAC3"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(0.0248)</w:t>
            </w:r>
          </w:p>
        </w:tc>
      </w:tr>
      <w:tr w:rsidR="009A3452" w:rsidRPr="00E8719E" w14:paraId="5F84FF94" w14:textId="77777777" w:rsidTr="009A3452">
        <w:trPr>
          <w:trHeight w:val="255"/>
          <w:jc w:val="center"/>
        </w:trPr>
        <w:tc>
          <w:tcPr>
            <w:tcW w:w="0" w:type="auto"/>
            <w:hideMark/>
          </w:tcPr>
          <w:p w14:paraId="0E3296D1"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F2093F">
              <w:rPr>
                <w:rFonts w:asciiTheme="majorHAnsi" w:hAnsiTheme="majorHAnsi" w:cstheme="majorHAnsi"/>
                <w:sz w:val="18"/>
                <w:szCs w:val="18"/>
              </w:rPr>
              <w:t>SUMINISTRO</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45D08DB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-0.0092</w:t>
            </w:r>
          </w:p>
        </w:tc>
        <w:tc>
          <w:tcPr>
            <w:tcW w:w="1106" w:type="dxa"/>
            <w:tcBorders>
              <w:left w:val="nil"/>
              <w:right w:val="single" w:sz="8" w:space="0" w:color="auto"/>
            </w:tcBorders>
            <w:hideMark/>
          </w:tcPr>
          <w:p w14:paraId="6CDA863E"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(0.0345)</w:t>
            </w:r>
          </w:p>
        </w:tc>
        <w:tc>
          <w:tcPr>
            <w:tcW w:w="1106" w:type="dxa"/>
            <w:tcBorders>
              <w:left w:val="single" w:sz="8" w:space="0" w:color="auto"/>
            </w:tcBorders>
            <w:vAlign w:val="center"/>
          </w:tcPr>
          <w:p w14:paraId="165CD8A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0.0062</w:t>
            </w:r>
          </w:p>
        </w:tc>
        <w:tc>
          <w:tcPr>
            <w:tcW w:w="1107" w:type="dxa"/>
            <w:vAlign w:val="center"/>
          </w:tcPr>
          <w:p w14:paraId="02F080A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(0.0543)</w:t>
            </w:r>
          </w:p>
        </w:tc>
      </w:tr>
      <w:tr w:rsidR="009A3452" w:rsidRPr="00E8719E" w14:paraId="71ABE322" w14:textId="77777777" w:rsidTr="009A3452">
        <w:trPr>
          <w:trHeight w:val="255"/>
          <w:jc w:val="center"/>
        </w:trPr>
        <w:tc>
          <w:tcPr>
            <w:tcW w:w="0" w:type="auto"/>
            <w:hideMark/>
          </w:tcPr>
          <w:p w14:paraId="0C4DBA58"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E8719E">
              <w:rPr>
                <w:rFonts w:asciiTheme="majorHAnsi" w:hAnsiTheme="majorHAnsi" w:cstheme="majorHAnsi"/>
                <w:sz w:val="18"/>
                <w:szCs w:val="18"/>
              </w:rPr>
              <w:t>Z</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1CF289D4"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-0.0049</w:t>
            </w:r>
          </w:p>
        </w:tc>
        <w:tc>
          <w:tcPr>
            <w:tcW w:w="1106" w:type="dxa"/>
            <w:tcBorders>
              <w:left w:val="nil"/>
              <w:right w:val="single" w:sz="8" w:space="0" w:color="auto"/>
            </w:tcBorders>
            <w:hideMark/>
          </w:tcPr>
          <w:p w14:paraId="1F9E44E9"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(0.0187)</w:t>
            </w:r>
          </w:p>
        </w:tc>
        <w:tc>
          <w:tcPr>
            <w:tcW w:w="1106" w:type="dxa"/>
            <w:tcBorders>
              <w:left w:val="single" w:sz="8" w:space="0" w:color="auto"/>
            </w:tcBorders>
            <w:vAlign w:val="center"/>
          </w:tcPr>
          <w:p w14:paraId="15C66F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0.0280</w:t>
            </w:r>
          </w:p>
        </w:tc>
        <w:tc>
          <w:tcPr>
            <w:tcW w:w="1107" w:type="dxa"/>
            <w:vAlign w:val="center"/>
          </w:tcPr>
          <w:p w14:paraId="78B5CDFA"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(0.0275)</w:t>
            </w:r>
          </w:p>
        </w:tc>
      </w:tr>
      <w:tr w:rsidR="009A3452" w:rsidRPr="00E8719E" w14:paraId="10D6588B" w14:textId="77777777" w:rsidTr="009A3452">
        <w:trPr>
          <w:trHeight w:val="255"/>
          <w:jc w:val="center"/>
        </w:trPr>
        <w:tc>
          <w:tcPr>
            <w:tcW w:w="0" w:type="auto"/>
            <w:hideMark/>
          </w:tcPr>
          <w:p w14:paraId="6A357E2B"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E8719E">
              <w:rPr>
                <w:rFonts w:asciiTheme="majorHAnsi" w:hAnsiTheme="majorHAnsi" w:cstheme="majorHAnsi"/>
                <w:sz w:val="18"/>
                <w:szCs w:val="18"/>
              </w:rPr>
              <w:t>SC</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21362A57"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0.0010</w:t>
            </w:r>
          </w:p>
        </w:tc>
        <w:tc>
          <w:tcPr>
            <w:tcW w:w="1106" w:type="dxa"/>
            <w:tcBorders>
              <w:left w:val="nil"/>
              <w:right w:val="single" w:sz="8" w:space="0" w:color="auto"/>
            </w:tcBorders>
            <w:hideMark/>
          </w:tcPr>
          <w:p w14:paraId="3603029B"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(0.0505)</w:t>
            </w:r>
          </w:p>
        </w:tc>
        <w:tc>
          <w:tcPr>
            <w:tcW w:w="1106" w:type="dxa"/>
            <w:tcBorders>
              <w:left w:val="single" w:sz="8" w:space="0" w:color="auto"/>
            </w:tcBorders>
            <w:vAlign w:val="center"/>
          </w:tcPr>
          <w:p w14:paraId="2C87B43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0.0797</w:t>
            </w:r>
          </w:p>
        </w:tc>
        <w:tc>
          <w:tcPr>
            <w:tcW w:w="1107" w:type="dxa"/>
            <w:vAlign w:val="center"/>
          </w:tcPr>
          <w:p w14:paraId="6D19C639"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(0.0679)</w:t>
            </w:r>
          </w:p>
        </w:tc>
      </w:tr>
      <w:tr w:rsidR="009A3452" w:rsidRPr="00E8719E" w14:paraId="6793A4B7" w14:textId="77777777" w:rsidTr="009A3452">
        <w:trPr>
          <w:trHeight w:val="255"/>
          <w:jc w:val="center"/>
        </w:trPr>
        <w:tc>
          <w:tcPr>
            <w:tcW w:w="0" w:type="auto"/>
          </w:tcPr>
          <w:p w14:paraId="0A0F8C44"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estaciones</w:t>
            </w:r>
          </w:p>
        </w:tc>
        <w:tc>
          <w:tcPr>
            <w:tcW w:w="2212" w:type="dxa"/>
            <w:gridSpan w:val="2"/>
            <w:tcBorders>
              <w:right w:val="single" w:sz="8" w:space="0" w:color="auto"/>
            </w:tcBorders>
            <w:vAlign w:val="center"/>
          </w:tcPr>
          <w:p w14:paraId="1184AFEC"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2A5DB273"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693E4B38" w14:textId="77777777" w:rsidTr="009A3452">
        <w:trPr>
          <w:trHeight w:val="255"/>
          <w:jc w:val="center"/>
        </w:trPr>
        <w:tc>
          <w:tcPr>
            <w:tcW w:w="0" w:type="auto"/>
          </w:tcPr>
          <w:p w14:paraId="2622F080"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tiempo</w:t>
            </w:r>
          </w:p>
        </w:tc>
        <w:tc>
          <w:tcPr>
            <w:tcW w:w="2212" w:type="dxa"/>
            <w:gridSpan w:val="2"/>
            <w:tcBorders>
              <w:right w:val="single" w:sz="8" w:space="0" w:color="auto"/>
            </w:tcBorders>
            <w:vAlign w:val="center"/>
          </w:tcPr>
          <w:p w14:paraId="2571272F"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00F8F0E6"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4C0EC2E4" w14:textId="77777777" w:rsidTr="009A3452">
        <w:trPr>
          <w:trHeight w:val="255"/>
          <w:jc w:val="center"/>
        </w:trPr>
        <w:tc>
          <w:tcPr>
            <w:tcW w:w="0" w:type="auto"/>
          </w:tcPr>
          <w:p w14:paraId="15D88EDF"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 xml:space="preserve">R2 </w:t>
            </w:r>
            <w:proofErr w:type="spellStart"/>
            <w:r w:rsidRPr="00E8719E">
              <w:rPr>
                <w:rFonts w:asciiTheme="majorHAnsi" w:hAnsiTheme="majorHAnsi" w:cstheme="majorHAnsi"/>
                <w:sz w:val="18"/>
                <w:szCs w:val="18"/>
              </w:rPr>
              <w:t>adj</w:t>
            </w:r>
            <w:proofErr w:type="spellEnd"/>
            <w:r>
              <w:rPr>
                <w:rFonts w:asciiTheme="majorHAnsi" w:hAnsiTheme="majorHAnsi" w:cstheme="majorHAnsi"/>
                <w:sz w:val="18"/>
                <w:szCs w:val="18"/>
              </w:rPr>
              <w:t>.</w:t>
            </w:r>
          </w:p>
        </w:tc>
        <w:tc>
          <w:tcPr>
            <w:tcW w:w="1106" w:type="dxa"/>
            <w:tcBorders>
              <w:right w:val="nil"/>
            </w:tcBorders>
          </w:tcPr>
          <w:p w14:paraId="2FEDB2B1"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0.71016</w:t>
            </w:r>
          </w:p>
        </w:tc>
        <w:tc>
          <w:tcPr>
            <w:tcW w:w="1106" w:type="dxa"/>
            <w:tcBorders>
              <w:left w:val="nil"/>
              <w:right w:val="single" w:sz="8" w:space="0" w:color="auto"/>
            </w:tcBorders>
          </w:tcPr>
          <w:p w14:paraId="4CECF42F"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9609E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0.93388</w:t>
            </w:r>
          </w:p>
        </w:tc>
        <w:tc>
          <w:tcPr>
            <w:tcW w:w="1107" w:type="dxa"/>
            <w:vAlign w:val="center"/>
          </w:tcPr>
          <w:p w14:paraId="4AB2E52D"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0328F12A" w14:textId="77777777" w:rsidTr="009A3452">
        <w:trPr>
          <w:trHeight w:val="255"/>
          <w:jc w:val="center"/>
        </w:trPr>
        <w:tc>
          <w:tcPr>
            <w:tcW w:w="0" w:type="auto"/>
          </w:tcPr>
          <w:p w14:paraId="6D5792F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N. observaciones</w:t>
            </w:r>
          </w:p>
        </w:tc>
        <w:tc>
          <w:tcPr>
            <w:tcW w:w="1106" w:type="dxa"/>
            <w:tcBorders>
              <w:right w:val="nil"/>
            </w:tcBorders>
          </w:tcPr>
          <w:p w14:paraId="53AE34BF"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2574</w:t>
            </w:r>
          </w:p>
        </w:tc>
        <w:tc>
          <w:tcPr>
            <w:tcW w:w="1106" w:type="dxa"/>
            <w:tcBorders>
              <w:left w:val="nil"/>
              <w:right w:val="single" w:sz="8" w:space="0" w:color="auto"/>
            </w:tcBorders>
          </w:tcPr>
          <w:p w14:paraId="5D2A5894"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C9513C3"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8580</w:t>
            </w:r>
          </w:p>
        </w:tc>
        <w:tc>
          <w:tcPr>
            <w:tcW w:w="1107" w:type="dxa"/>
            <w:vAlign w:val="center"/>
          </w:tcPr>
          <w:p w14:paraId="3E23EC31"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4DD5503A" w14:textId="77777777" w:rsidTr="009A3452">
        <w:trPr>
          <w:trHeight w:val="255"/>
          <w:jc w:val="center"/>
        </w:trPr>
        <w:tc>
          <w:tcPr>
            <w:tcW w:w="0" w:type="auto"/>
          </w:tcPr>
          <w:p w14:paraId="54B8982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Periodos incluidos</w:t>
            </w:r>
          </w:p>
        </w:tc>
        <w:tc>
          <w:tcPr>
            <w:tcW w:w="2212" w:type="dxa"/>
            <w:gridSpan w:val="2"/>
            <w:tcBorders>
              <w:right w:val="single" w:sz="8" w:space="0" w:color="auto"/>
            </w:tcBorders>
          </w:tcPr>
          <w:p w14:paraId="48B2A781"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Oct-17 a Mar-18</w:t>
            </w:r>
          </w:p>
        </w:tc>
        <w:tc>
          <w:tcPr>
            <w:tcW w:w="2213" w:type="dxa"/>
            <w:gridSpan w:val="2"/>
            <w:tcBorders>
              <w:left w:val="single" w:sz="8" w:space="0" w:color="auto"/>
            </w:tcBorders>
            <w:vAlign w:val="center"/>
          </w:tcPr>
          <w:p w14:paraId="08D0D057"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Mar-17 a Oct-18</w:t>
            </w:r>
          </w:p>
        </w:tc>
      </w:tr>
      <w:tr w:rsidR="009A3452" w:rsidRPr="00E8719E" w14:paraId="38FF057E" w14:textId="77777777" w:rsidTr="009A3452">
        <w:trPr>
          <w:trHeight w:val="255"/>
          <w:jc w:val="center"/>
        </w:trPr>
        <w:tc>
          <w:tcPr>
            <w:tcW w:w="0" w:type="auto"/>
          </w:tcPr>
          <w:p w14:paraId="0B73AADF" w14:textId="77777777" w:rsidR="009A3452" w:rsidRPr="00E8719E" w:rsidRDefault="009A3452" w:rsidP="00DA18E1">
            <w:pPr>
              <w:keepNext/>
              <w:spacing w:after="0" w:line="240" w:lineRule="auto"/>
              <w:jc w:val="left"/>
              <w:rPr>
                <w:rFonts w:asciiTheme="majorHAnsi" w:hAnsiTheme="majorHAnsi" w:cstheme="majorHAnsi"/>
                <w:i/>
                <w:sz w:val="18"/>
                <w:szCs w:val="18"/>
              </w:rPr>
            </w:pPr>
            <w:r w:rsidRPr="00E8719E">
              <w:rPr>
                <w:rFonts w:asciiTheme="majorHAnsi" w:hAnsiTheme="majorHAnsi" w:cstheme="majorHAnsi"/>
                <w:i/>
                <w:sz w:val="18"/>
                <w:szCs w:val="18"/>
              </w:rPr>
              <w:t>Nota:</w:t>
            </w:r>
          </w:p>
        </w:tc>
        <w:tc>
          <w:tcPr>
            <w:tcW w:w="4425" w:type="dxa"/>
            <w:gridSpan w:val="4"/>
          </w:tcPr>
          <w:p w14:paraId="6F6EF2C4" w14:textId="77777777" w:rsidR="009A3452" w:rsidRPr="00E8719E" w:rsidRDefault="009A3452" w:rsidP="00DA18E1">
            <w:pPr>
              <w:keepNext/>
              <w:spacing w:after="0" w:line="240" w:lineRule="auto"/>
              <w:jc w:val="right"/>
              <w:rPr>
                <w:rFonts w:ascii="Times New Roman" w:hAnsi="Times New Roman"/>
                <w:sz w:val="18"/>
                <w:szCs w:val="18"/>
              </w:rPr>
            </w:pPr>
            <w:r w:rsidRPr="00E8719E">
              <w:rPr>
                <w:rFonts w:ascii="Times New Roman" w:hAnsi="Times New Roman"/>
                <w:sz w:val="18"/>
                <w:szCs w:val="18"/>
                <w:vertAlign w:val="superscript"/>
              </w:rPr>
              <w:t>*</w:t>
            </w:r>
            <w:r w:rsidRPr="00E8719E">
              <w:rPr>
                <w:rFonts w:ascii="Times New Roman" w:hAnsi="Times New Roman"/>
                <w:sz w:val="18"/>
                <w:szCs w:val="18"/>
              </w:rPr>
              <w:t>p&lt;0.1; </w:t>
            </w:r>
            <w:r w:rsidRPr="00E8719E">
              <w:rPr>
                <w:rFonts w:ascii="Times New Roman" w:hAnsi="Times New Roman"/>
                <w:sz w:val="18"/>
                <w:szCs w:val="18"/>
                <w:vertAlign w:val="superscript"/>
              </w:rPr>
              <w:t>**</w:t>
            </w:r>
            <w:r w:rsidRPr="00E8719E">
              <w:rPr>
                <w:rFonts w:ascii="Times New Roman" w:hAnsi="Times New Roman"/>
                <w:sz w:val="18"/>
                <w:szCs w:val="18"/>
              </w:rPr>
              <w:t>p&lt;0.05; </w:t>
            </w:r>
            <w:r w:rsidRPr="00E8719E">
              <w:rPr>
                <w:rFonts w:ascii="Times New Roman" w:hAnsi="Times New Roman"/>
                <w:sz w:val="18"/>
                <w:szCs w:val="18"/>
                <w:vertAlign w:val="superscript"/>
              </w:rPr>
              <w:t>***</w:t>
            </w:r>
            <w:r w:rsidRPr="00E8719E">
              <w:rPr>
                <w:rFonts w:ascii="Times New Roman" w:hAnsi="Times New Roman"/>
                <w:sz w:val="18"/>
                <w:szCs w:val="18"/>
              </w:rPr>
              <w:t>p&lt;0.01</w:t>
            </w:r>
          </w:p>
          <w:p w14:paraId="0E644D88"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imes New Roman" w:hAnsi="Times New Roman"/>
                <w:sz w:val="18"/>
                <w:szCs w:val="18"/>
              </w:rPr>
              <w:t>Errores estándares en paréntesis.</w:t>
            </w:r>
          </w:p>
        </w:tc>
      </w:tr>
    </w:tbl>
    <w:p w14:paraId="276CB56D" w14:textId="574248B1" w:rsidR="009A3452" w:rsidRPr="009A3452" w:rsidRDefault="009A3452" w:rsidP="009A3452">
      <w:pPr>
        <w:rPr>
          <w:sz w:val="18"/>
        </w:rPr>
      </w:pPr>
      <w:r w:rsidRPr="009A3452">
        <w:rPr>
          <w:sz w:val="18"/>
        </w:rPr>
        <w:t>Fuente: Elaboración propia, 2019</w:t>
      </w:r>
    </w:p>
    <w:p w14:paraId="34196D56" w14:textId="23FC76F7" w:rsidR="00770490" w:rsidRDefault="00770490" w:rsidP="009A3452">
      <w:pPr>
        <w:pStyle w:val="Ttulo2"/>
        <w:rPr>
          <w:lang w:val="es-ES"/>
        </w:rPr>
      </w:pPr>
      <w:r>
        <w:rPr>
          <w:lang w:val="es-ES"/>
        </w:rPr>
        <w:br w:type="page"/>
      </w:r>
    </w:p>
    <w:p w14:paraId="35222872" w14:textId="49C8D56A" w:rsidR="00A314E8" w:rsidRDefault="00A314E8" w:rsidP="00A314E8">
      <w:pPr>
        <w:pStyle w:val="Ttulo1"/>
        <w:rPr>
          <w:lang w:val="es-ES"/>
        </w:rPr>
      </w:pPr>
      <w:bookmarkStart w:id="48" w:name="_Toc6348731"/>
      <w:r>
        <w:rPr>
          <w:lang w:val="es-ES"/>
        </w:rPr>
        <w:lastRenderedPageBreak/>
        <w:t>Conclusiones y recomendaciones</w:t>
      </w:r>
      <w:bookmarkEnd w:id="48"/>
      <w:r>
        <w:rPr>
          <w:lang w:val="es-ES"/>
        </w:rPr>
        <w:br w:type="page"/>
      </w:r>
    </w:p>
    <w:p w14:paraId="5863AF65" w14:textId="514DEA4B" w:rsidR="005104A3" w:rsidRPr="00A815AC" w:rsidRDefault="005104A3" w:rsidP="00A314E8">
      <w:pPr>
        <w:pStyle w:val="Ttulo1"/>
        <w:numPr>
          <w:ilvl w:val="0"/>
          <w:numId w:val="0"/>
        </w:numPr>
        <w:rPr>
          <w:lang w:val="es-ES"/>
        </w:rPr>
      </w:pPr>
      <w:bookmarkStart w:id="49" w:name="_Toc6348732"/>
      <w:r w:rsidRPr="00A815AC">
        <w:rPr>
          <w:lang w:val="es-ES"/>
        </w:rPr>
        <w:lastRenderedPageBreak/>
        <w:t>Bibliografía</w:t>
      </w:r>
      <w:bookmarkEnd w:id="49"/>
    </w:p>
    <w:p w14:paraId="6413A9AD" w14:textId="77777777" w:rsidR="001046CB" w:rsidRPr="001046CB" w:rsidRDefault="005104A3" w:rsidP="001046CB">
      <w:pPr>
        <w:pStyle w:val="Bibliografa"/>
        <w:rPr>
          <w:rFonts w:ascii="Times New Roman" w:hAnsi="Times New Roman"/>
          <w:lang w:val="en-US"/>
        </w:rPr>
      </w:pPr>
      <w:r>
        <w:fldChar w:fldCharType="begin"/>
      </w:r>
      <w:r w:rsidR="00452AEC" w:rsidRPr="000E1B51">
        <w:rPr>
          <w:lang w:val="en-US"/>
        </w:rPr>
        <w:instrText xml:space="preserve"> ADDIN ZOTERO_BIBL {"uncited":[],"omitted":[],"custom":[]} CSL_BIBLIOGRAPHY </w:instrText>
      </w:r>
      <w:r>
        <w:fldChar w:fldCharType="separate"/>
      </w:r>
      <w:proofErr w:type="spellStart"/>
      <w:r w:rsidR="001046CB" w:rsidRPr="001046CB">
        <w:rPr>
          <w:rFonts w:ascii="Times New Roman" w:hAnsi="Times New Roman"/>
          <w:lang w:val="en-US"/>
        </w:rPr>
        <w:t>Alderighi</w:t>
      </w:r>
      <w:proofErr w:type="spellEnd"/>
      <w:r w:rsidR="001046CB" w:rsidRPr="001046CB">
        <w:rPr>
          <w:rFonts w:ascii="Times New Roman" w:hAnsi="Times New Roman"/>
          <w:lang w:val="en-US"/>
        </w:rPr>
        <w:t xml:space="preserve">, M., &amp; </w:t>
      </w:r>
      <w:proofErr w:type="spellStart"/>
      <w:r w:rsidR="001046CB" w:rsidRPr="001046CB">
        <w:rPr>
          <w:rFonts w:ascii="Times New Roman" w:hAnsi="Times New Roman"/>
          <w:lang w:val="en-US"/>
        </w:rPr>
        <w:t>Baudino</w:t>
      </w:r>
      <w:proofErr w:type="spellEnd"/>
      <w:r w:rsidR="001046CB" w:rsidRPr="001046CB">
        <w:rPr>
          <w:rFonts w:ascii="Times New Roman" w:hAnsi="Times New Roman"/>
          <w:lang w:val="en-US"/>
        </w:rPr>
        <w:t xml:space="preserve">, M. (2015). The pricing behavior of Italian gas stations: Some evidence from the Cuneo retail fuel market. </w:t>
      </w:r>
      <w:r w:rsidR="001046CB" w:rsidRPr="001046CB">
        <w:rPr>
          <w:rFonts w:ascii="Times New Roman" w:hAnsi="Times New Roman"/>
          <w:i/>
          <w:iCs/>
          <w:lang w:val="en-US"/>
        </w:rPr>
        <w:t>Energy Economics</w:t>
      </w:r>
      <w:r w:rsidR="001046CB" w:rsidRPr="001046CB">
        <w:rPr>
          <w:rFonts w:ascii="Times New Roman" w:hAnsi="Times New Roman"/>
          <w:lang w:val="en-US"/>
        </w:rPr>
        <w:t xml:space="preserve">, </w:t>
      </w:r>
      <w:r w:rsidR="001046CB" w:rsidRPr="001046CB">
        <w:rPr>
          <w:rFonts w:ascii="Times New Roman" w:hAnsi="Times New Roman"/>
          <w:i/>
          <w:iCs/>
          <w:lang w:val="en-US"/>
        </w:rPr>
        <w:t>50</w:t>
      </w:r>
      <w:r w:rsidR="001046CB" w:rsidRPr="001046CB">
        <w:rPr>
          <w:rFonts w:ascii="Times New Roman" w:hAnsi="Times New Roman"/>
          <w:lang w:val="en-US"/>
        </w:rPr>
        <w:t>, 33-46. https://doi.org/10.1016/j.eneco.2015.04.017</w:t>
      </w:r>
    </w:p>
    <w:p w14:paraId="61614D41" w14:textId="77777777" w:rsidR="001046CB" w:rsidRPr="001046CB" w:rsidRDefault="001046CB" w:rsidP="001046CB">
      <w:pPr>
        <w:pStyle w:val="Bibliografa"/>
        <w:rPr>
          <w:rFonts w:ascii="Times New Roman" w:hAnsi="Times New Roman"/>
          <w:lang w:val="en-US"/>
        </w:rPr>
      </w:pPr>
      <w:proofErr w:type="spellStart"/>
      <w:r w:rsidRPr="001046CB">
        <w:rPr>
          <w:rFonts w:ascii="Times New Roman" w:hAnsi="Times New Roman"/>
          <w:lang w:val="en-US"/>
        </w:rPr>
        <w:t>Anselin</w:t>
      </w:r>
      <w:proofErr w:type="spellEnd"/>
      <w:r w:rsidRPr="001046CB">
        <w:rPr>
          <w:rFonts w:ascii="Times New Roman" w:hAnsi="Times New Roman"/>
          <w:lang w:val="en-US"/>
        </w:rPr>
        <w:t xml:space="preserve">, L. (2013). </w:t>
      </w:r>
      <w:r w:rsidRPr="001046CB">
        <w:rPr>
          <w:rFonts w:ascii="Times New Roman" w:hAnsi="Times New Roman"/>
          <w:i/>
          <w:iCs/>
          <w:lang w:val="en-US"/>
        </w:rPr>
        <w:t>Spatial econometrics: methods and models</w:t>
      </w:r>
      <w:r w:rsidRPr="001046CB">
        <w:rPr>
          <w:rFonts w:ascii="Times New Roman" w:hAnsi="Times New Roman"/>
          <w:lang w:val="en-US"/>
        </w:rPr>
        <w:t xml:space="preserve"> (Vol. 4). Springer Science &amp; Business Media.</w:t>
      </w:r>
    </w:p>
    <w:p w14:paraId="6CDD96AB" w14:textId="77777777" w:rsidR="001046CB" w:rsidRPr="001046CB" w:rsidRDefault="001046CB" w:rsidP="001046CB">
      <w:pPr>
        <w:pStyle w:val="Bibliografa"/>
        <w:rPr>
          <w:rFonts w:ascii="Times New Roman" w:hAnsi="Times New Roman"/>
        </w:rPr>
      </w:pPr>
      <w:proofErr w:type="spellStart"/>
      <w:r w:rsidRPr="001046CB">
        <w:rPr>
          <w:rFonts w:ascii="Times New Roman" w:hAnsi="Times New Roman"/>
          <w:lang w:val="en-US"/>
        </w:rPr>
        <w:t>Anselin</w:t>
      </w:r>
      <w:proofErr w:type="spellEnd"/>
      <w:r w:rsidRPr="001046CB">
        <w:rPr>
          <w:rFonts w:ascii="Times New Roman" w:hAnsi="Times New Roman"/>
          <w:lang w:val="en-US"/>
        </w:rPr>
        <w:t xml:space="preserve">, L., </w:t>
      </w:r>
      <w:proofErr w:type="spellStart"/>
      <w:r w:rsidRPr="001046CB">
        <w:rPr>
          <w:rFonts w:ascii="Times New Roman" w:hAnsi="Times New Roman"/>
          <w:lang w:val="en-US"/>
        </w:rPr>
        <w:t>Bera</w:t>
      </w:r>
      <w:proofErr w:type="spellEnd"/>
      <w:r w:rsidRPr="001046CB">
        <w:rPr>
          <w:rFonts w:ascii="Times New Roman" w:hAnsi="Times New Roman"/>
          <w:lang w:val="en-US"/>
        </w:rPr>
        <w:t xml:space="preserve">, A. K., </w:t>
      </w:r>
      <w:proofErr w:type="spellStart"/>
      <w:r w:rsidRPr="001046CB">
        <w:rPr>
          <w:rFonts w:ascii="Times New Roman" w:hAnsi="Times New Roman"/>
          <w:lang w:val="en-US"/>
        </w:rPr>
        <w:t>Florax</w:t>
      </w:r>
      <w:proofErr w:type="spellEnd"/>
      <w:r w:rsidRPr="001046CB">
        <w:rPr>
          <w:rFonts w:ascii="Times New Roman" w:hAnsi="Times New Roman"/>
          <w:lang w:val="en-US"/>
        </w:rPr>
        <w:t xml:space="preserve">, R., &amp; Yoon, M. J. (1996). Simple diagnostic tests for spatial dependence. </w:t>
      </w:r>
      <w:r w:rsidRPr="001046CB">
        <w:rPr>
          <w:rFonts w:ascii="Times New Roman" w:hAnsi="Times New Roman"/>
          <w:i/>
          <w:iCs/>
        </w:rPr>
        <w:t xml:space="preserve">Regional </w:t>
      </w:r>
      <w:proofErr w:type="spellStart"/>
      <w:r w:rsidRPr="001046CB">
        <w:rPr>
          <w:rFonts w:ascii="Times New Roman" w:hAnsi="Times New Roman"/>
          <w:i/>
          <w:iCs/>
        </w:rPr>
        <w:t>Science</w:t>
      </w:r>
      <w:proofErr w:type="spellEnd"/>
      <w:r w:rsidRPr="001046CB">
        <w:rPr>
          <w:rFonts w:ascii="Times New Roman" w:hAnsi="Times New Roman"/>
          <w:i/>
          <w:iCs/>
        </w:rPr>
        <w:t xml:space="preserve"> and </w:t>
      </w:r>
      <w:proofErr w:type="spellStart"/>
      <w:r w:rsidRPr="001046CB">
        <w:rPr>
          <w:rFonts w:ascii="Times New Roman" w:hAnsi="Times New Roman"/>
          <w:i/>
          <w:iCs/>
        </w:rPr>
        <w:t>Urban</w:t>
      </w:r>
      <w:proofErr w:type="spellEnd"/>
      <w:r w:rsidRPr="001046CB">
        <w:rPr>
          <w:rFonts w:ascii="Times New Roman" w:hAnsi="Times New Roman"/>
          <w:i/>
          <w:iCs/>
        </w:rPr>
        <w:t xml:space="preserve"> Economics</w:t>
      </w:r>
      <w:r w:rsidRPr="001046CB">
        <w:rPr>
          <w:rFonts w:ascii="Times New Roman" w:hAnsi="Times New Roman"/>
        </w:rPr>
        <w:t xml:space="preserve">, </w:t>
      </w:r>
      <w:r w:rsidRPr="001046CB">
        <w:rPr>
          <w:rFonts w:ascii="Times New Roman" w:hAnsi="Times New Roman"/>
          <w:i/>
          <w:iCs/>
        </w:rPr>
        <w:t>26</w:t>
      </w:r>
      <w:r w:rsidRPr="001046CB">
        <w:rPr>
          <w:rFonts w:ascii="Times New Roman" w:hAnsi="Times New Roman"/>
        </w:rPr>
        <w:t>(1), 77-104. https://doi.org/10.1016/0166-0462(95)02111-6</w:t>
      </w:r>
    </w:p>
    <w:p w14:paraId="0BEA1915" w14:textId="77777777" w:rsidR="001046CB" w:rsidRPr="001046CB" w:rsidRDefault="001046CB" w:rsidP="001046CB">
      <w:pPr>
        <w:pStyle w:val="Bibliografa"/>
        <w:rPr>
          <w:rFonts w:ascii="Times New Roman" w:hAnsi="Times New Roman"/>
          <w:lang w:val="en-US"/>
        </w:rPr>
      </w:pPr>
      <w:proofErr w:type="spellStart"/>
      <w:r w:rsidRPr="001046CB">
        <w:rPr>
          <w:rFonts w:ascii="Times New Roman" w:hAnsi="Times New Roman"/>
        </w:rPr>
        <w:t>Aurazo</w:t>
      </w:r>
      <w:proofErr w:type="spellEnd"/>
      <w:r w:rsidRPr="001046CB">
        <w:rPr>
          <w:rFonts w:ascii="Times New Roman" w:hAnsi="Times New Roman"/>
        </w:rPr>
        <w:t xml:space="preserve"> Iglesias, J. G., &amp; Rojas Milla, P. C. (2018). </w:t>
      </w:r>
      <w:r w:rsidRPr="001046CB">
        <w:rPr>
          <w:rFonts w:ascii="Times New Roman" w:hAnsi="Times New Roman"/>
          <w:i/>
          <w:iCs/>
        </w:rPr>
        <w:t xml:space="preserve">Modelo de competencia espacial: una aplicación al mercado </w:t>
      </w:r>
      <w:proofErr w:type="spellStart"/>
      <w:r w:rsidRPr="001046CB">
        <w:rPr>
          <w:rFonts w:ascii="Times New Roman" w:hAnsi="Times New Roman"/>
          <w:i/>
          <w:iCs/>
        </w:rPr>
        <w:t>retail</w:t>
      </w:r>
      <w:proofErr w:type="spellEnd"/>
      <w:r w:rsidRPr="001046CB">
        <w:rPr>
          <w:rFonts w:ascii="Times New Roman" w:hAnsi="Times New Roman"/>
          <w:i/>
          <w:iCs/>
        </w:rPr>
        <w:t xml:space="preserve"> del GNV en el Perú</w:t>
      </w:r>
      <w:r w:rsidRPr="001046CB">
        <w:rPr>
          <w:rFonts w:ascii="Times New Roman" w:hAnsi="Times New Roman"/>
        </w:rPr>
        <w:t xml:space="preserve">. </w:t>
      </w:r>
      <w:proofErr w:type="spellStart"/>
      <w:r w:rsidRPr="001046CB">
        <w:rPr>
          <w:rFonts w:ascii="Times New Roman" w:hAnsi="Times New Roman"/>
          <w:lang w:val="en-US"/>
        </w:rPr>
        <w:t>Perú</w:t>
      </w:r>
      <w:proofErr w:type="spellEnd"/>
      <w:r w:rsidRPr="001046CB">
        <w:rPr>
          <w:rFonts w:ascii="Times New Roman" w:hAnsi="Times New Roman"/>
          <w:lang w:val="en-US"/>
        </w:rPr>
        <w:t>.</w:t>
      </w:r>
    </w:p>
    <w:p w14:paraId="2ED0F0F4" w14:textId="77777777" w:rsidR="001046CB" w:rsidRPr="001046CB" w:rsidRDefault="001046CB" w:rsidP="001046CB">
      <w:pPr>
        <w:pStyle w:val="Bibliografa"/>
        <w:rPr>
          <w:rFonts w:ascii="Times New Roman" w:hAnsi="Times New Roman"/>
          <w:lang w:val="en-US"/>
        </w:rPr>
      </w:pPr>
      <w:r w:rsidRPr="001046CB">
        <w:rPr>
          <w:rFonts w:ascii="Times New Roman" w:hAnsi="Times New Roman"/>
          <w:lang w:val="en-US"/>
        </w:rPr>
        <w:t xml:space="preserve">Byrne, P. F. (2010). </w:t>
      </w:r>
      <w:r w:rsidRPr="001046CB">
        <w:rPr>
          <w:rFonts w:ascii="Times New Roman" w:hAnsi="Times New Roman"/>
          <w:i/>
          <w:iCs/>
          <w:lang w:val="en-US"/>
        </w:rPr>
        <w:t>Geographic Competition in the Retail Gasoline Market: Who are a gas station’s competitors?</w:t>
      </w:r>
      <w:r w:rsidRPr="001046CB">
        <w:rPr>
          <w:rFonts w:ascii="Times New Roman" w:hAnsi="Times New Roman"/>
          <w:lang w:val="en-US"/>
        </w:rPr>
        <w:t xml:space="preserve"> (2), 23.</w:t>
      </w:r>
    </w:p>
    <w:p w14:paraId="20B88E91" w14:textId="77777777" w:rsidR="001046CB" w:rsidRPr="001046CB" w:rsidRDefault="001046CB" w:rsidP="001046CB">
      <w:pPr>
        <w:pStyle w:val="Bibliografa"/>
        <w:rPr>
          <w:rFonts w:ascii="Times New Roman" w:hAnsi="Times New Roman"/>
          <w:lang w:val="en-US"/>
        </w:rPr>
      </w:pPr>
      <w:r w:rsidRPr="001046CB">
        <w:rPr>
          <w:rFonts w:ascii="Times New Roman" w:hAnsi="Times New Roman"/>
          <w:lang w:val="en-US"/>
        </w:rPr>
        <w:t xml:space="preserve">Chung, Y., &amp; Park, H. (2014). Analysis of Spatial Interaction Effect of Retail Gasoline Price in Seoul. </w:t>
      </w:r>
      <w:r w:rsidRPr="001046CB">
        <w:rPr>
          <w:rFonts w:ascii="Times New Roman" w:hAnsi="Times New Roman"/>
          <w:i/>
          <w:iCs/>
          <w:lang w:val="en-US"/>
        </w:rPr>
        <w:t>Korea and the World Economy</w:t>
      </w:r>
      <w:r w:rsidRPr="001046CB">
        <w:rPr>
          <w:rFonts w:ascii="Times New Roman" w:hAnsi="Times New Roman"/>
          <w:lang w:val="en-US"/>
        </w:rPr>
        <w:t xml:space="preserve">, </w:t>
      </w:r>
      <w:r w:rsidRPr="001046CB">
        <w:rPr>
          <w:rFonts w:ascii="Times New Roman" w:hAnsi="Times New Roman"/>
          <w:i/>
          <w:iCs/>
          <w:lang w:val="en-US"/>
        </w:rPr>
        <w:t>15</w:t>
      </w:r>
      <w:r w:rsidRPr="001046CB">
        <w:rPr>
          <w:rFonts w:ascii="Times New Roman" w:hAnsi="Times New Roman"/>
          <w:lang w:val="en-US"/>
        </w:rPr>
        <w:t>(2), 209–241.</w:t>
      </w:r>
    </w:p>
    <w:p w14:paraId="634226EB" w14:textId="77777777" w:rsidR="001046CB" w:rsidRPr="001046CB" w:rsidRDefault="001046CB" w:rsidP="001046CB">
      <w:pPr>
        <w:pStyle w:val="Bibliografa"/>
        <w:rPr>
          <w:rFonts w:ascii="Times New Roman" w:hAnsi="Times New Roman"/>
          <w:lang w:val="en-US"/>
        </w:rPr>
      </w:pPr>
      <w:proofErr w:type="spellStart"/>
      <w:r w:rsidRPr="001046CB">
        <w:rPr>
          <w:rFonts w:ascii="Times New Roman" w:hAnsi="Times New Roman"/>
          <w:lang w:val="en-US"/>
        </w:rPr>
        <w:t>Clemenz</w:t>
      </w:r>
      <w:proofErr w:type="spellEnd"/>
      <w:r w:rsidRPr="001046CB">
        <w:rPr>
          <w:rFonts w:ascii="Times New Roman" w:hAnsi="Times New Roman"/>
          <w:lang w:val="en-US"/>
        </w:rPr>
        <w:t xml:space="preserve">, G., &amp; </w:t>
      </w:r>
      <w:proofErr w:type="spellStart"/>
      <w:r w:rsidRPr="001046CB">
        <w:rPr>
          <w:rFonts w:ascii="Times New Roman" w:hAnsi="Times New Roman"/>
          <w:lang w:val="en-US"/>
        </w:rPr>
        <w:t>Gugler</w:t>
      </w:r>
      <w:proofErr w:type="spellEnd"/>
      <w:r w:rsidRPr="001046CB">
        <w:rPr>
          <w:rFonts w:ascii="Times New Roman" w:hAnsi="Times New Roman"/>
          <w:lang w:val="en-US"/>
        </w:rPr>
        <w:t xml:space="preserve">, K. (2006). Locational choice and price competition: some empirical results for the </w:t>
      </w:r>
      <w:proofErr w:type="spellStart"/>
      <w:r w:rsidRPr="001046CB">
        <w:rPr>
          <w:rFonts w:ascii="Times New Roman" w:hAnsi="Times New Roman"/>
          <w:lang w:val="en-US"/>
        </w:rPr>
        <w:t>austrian</w:t>
      </w:r>
      <w:proofErr w:type="spellEnd"/>
      <w:r w:rsidRPr="001046CB">
        <w:rPr>
          <w:rFonts w:ascii="Times New Roman" w:hAnsi="Times New Roman"/>
          <w:lang w:val="en-US"/>
        </w:rPr>
        <w:t xml:space="preserve"> retail gasoline market. </w:t>
      </w:r>
      <w:r w:rsidRPr="001046CB">
        <w:rPr>
          <w:rFonts w:ascii="Times New Roman" w:hAnsi="Times New Roman"/>
          <w:i/>
          <w:iCs/>
          <w:lang w:val="en-US"/>
        </w:rPr>
        <w:t>Empirical Economics</w:t>
      </w:r>
      <w:r w:rsidRPr="001046CB">
        <w:rPr>
          <w:rFonts w:ascii="Times New Roman" w:hAnsi="Times New Roman"/>
          <w:lang w:val="en-US"/>
        </w:rPr>
        <w:t xml:space="preserve">, </w:t>
      </w:r>
      <w:r w:rsidRPr="001046CB">
        <w:rPr>
          <w:rFonts w:ascii="Times New Roman" w:hAnsi="Times New Roman"/>
          <w:i/>
          <w:iCs/>
          <w:lang w:val="en-US"/>
        </w:rPr>
        <w:t>31</w:t>
      </w:r>
      <w:r w:rsidRPr="001046CB">
        <w:rPr>
          <w:rFonts w:ascii="Times New Roman" w:hAnsi="Times New Roman"/>
          <w:lang w:val="en-US"/>
        </w:rPr>
        <w:t>(2), 291-312. https://doi.org/10.1007/s00181-005-0016-7</w:t>
      </w:r>
    </w:p>
    <w:p w14:paraId="7BDBE1D4" w14:textId="77777777" w:rsidR="001046CB" w:rsidRPr="001046CB" w:rsidRDefault="001046CB" w:rsidP="001046CB">
      <w:pPr>
        <w:pStyle w:val="Bibliografa"/>
        <w:rPr>
          <w:rFonts w:ascii="Times New Roman" w:hAnsi="Times New Roman"/>
          <w:lang w:val="en-US"/>
        </w:rPr>
      </w:pPr>
      <w:r w:rsidRPr="001046CB">
        <w:rPr>
          <w:rFonts w:ascii="Times New Roman" w:hAnsi="Times New Roman"/>
          <w:lang w:val="en-US"/>
        </w:rPr>
        <w:t xml:space="preserve">Dale, P. (2004). </w:t>
      </w:r>
      <w:r w:rsidRPr="001046CB">
        <w:rPr>
          <w:rFonts w:ascii="Times New Roman" w:hAnsi="Times New Roman"/>
          <w:i/>
          <w:iCs/>
          <w:lang w:val="en-US"/>
        </w:rPr>
        <w:t>Introduction to Mathematical Techniques used in GIS</w:t>
      </w:r>
      <w:r w:rsidRPr="001046CB">
        <w:rPr>
          <w:rFonts w:ascii="Times New Roman" w:hAnsi="Times New Roman"/>
          <w:lang w:val="en-US"/>
        </w:rPr>
        <w:t>. CRC Press.</w:t>
      </w:r>
    </w:p>
    <w:p w14:paraId="3D7387C3" w14:textId="77777777" w:rsidR="001046CB" w:rsidRPr="001046CB" w:rsidRDefault="001046CB" w:rsidP="001046CB">
      <w:pPr>
        <w:pStyle w:val="Bibliografa"/>
        <w:rPr>
          <w:rFonts w:ascii="Times New Roman" w:hAnsi="Times New Roman"/>
          <w:lang w:val="en-US"/>
        </w:rPr>
      </w:pPr>
      <w:r w:rsidRPr="001046CB">
        <w:rPr>
          <w:rFonts w:ascii="Times New Roman" w:hAnsi="Times New Roman"/>
          <w:lang w:val="en-US"/>
        </w:rPr>
        <w:t xml:space="preserve">Eckert, A., &amp; West, D. S. (2005). Price uniformity and competition in a retail gasoline market. </w:t>
      </w:r>
      <w:r w:rsidRPr="001046CB">
        <w:rPr>
          <w:rFonts w:ascii="Times New Roman" w:hAnsi="Times New Roman"/>
          <w:i/>
          <w:iCs/>
          <w:lang w:val="en-US"/>
        </w:rPr>
        <w:t>Journal of Economic Behavior &amp; Organization</w:t>
      </w:r>
      <w:r w:rsidRPr="001046CB">
        <w:rPr>
          <w:rFonts w:ascii="Times New Roman" w:hAnsi="Times New Roman"/>
          <w:lang w:val="en-US"/>
        </w:rPr>
        <w:t xml:space="preserve">, </w:t>
      </w:r>
      <w:r w:rsidRPr="001046CB">
        <w:rPr>
          <w:rFonts w:ascii="Times New Roman" w:hAnsi="Times New Roman"/>
          <w:i/>
          <w:iCs/>
          <w:lang w:val="en-US"/>
        </w:rPr>
        <w:t>56</w:t>
      </w:r>
      <w:r w:rsidRPr="001046CB">
        <w:rPr>
          <w:rFonts w:ascii="Times New Roman" w:hAnsi="Times New Roman"/>
          <w:lang w:val="en-US"/>
        </w:rPr>
        <w:t>(2), 219-237. https://doi.org/10.1016/j.jebo.2003.09.006</w:t>
      </w:r>
    </w:p>
    <w:p w14:paraId="142C2686" w14:textId="77777777" w:rsidR="001046CB" w:rsidRPr="001046CB" w:rsidRDefault="001046CB" w:rsidP="001046CB">
      <w:pPr>
        <w:pStyle w:val="Bibliografa"/>
        <w:rPr>
          <w:rFonts w:ascii="Times New Roman" w:hAnsi="Times New Roman"/>
          <w:lang w:val="en-US"/>
        </w:rPr>
      </w:pPr>
      <w:proofErr w:type="spellStart"/>
      <w:r w:rsidRPr="001046CB">
        <w:rPr>
          <w:rFonts w:ascii="Times New Roman" w:hAnsi="Times New Roman"/>
          <w:lang w:val="en-US"/>
        </w:rPr>
        <w:t>Elhorst</w:t>
      </w:r>
      <w:proofErr w:type="spellEnd"/>
      <w:r w:rsidRPr="001046CB">
        <w:rPr>
          <w:rFonts w:ascii="Times New Roman" w:hAnsi="Times New Roman"/>
          <w:lang w:val="en-US"/>
        </w:rPr>
        <w:t xml:space="preserve">, J. P. (2010). Applied Spatial Econometrics: Raising the Bar. </w:t>
      </w:r>
      <w:r w:rsidRPr="001046CB">
        <w:rPr>
          <w:rFonts w:ascii="Times New Roman" w:hAnsi="Times New Roman"/>
          <w:i/>
          <w:iCs/>
          <w:lang w:val="en-US"/>
        </w:rPr>
        <w:t>Spatial Economic Analysis</w:t>
      </w:r>
      <w:r w:rsidRPr="001046CB">
        <w:rPr>
          <w:rFonts w:ascii="Times New Roman" w:hAnsi="Times New Roman"/>
          <w:lang w:val="en-US"/>
        </w:rPr>
        <w:t xml:space="preserve">, </w:t>
      </w:r>
      <w:r w:rsidRPr="001046CB">
        <w:rPr>
          <w:rFonts w:ascii="Times New Roman" w:hAnsi="Times New Roman"/>
          <w:i/>
          <w:iCs/>
          <w:lang w:val="en-US"/>
        </w:rPr>
        <w:t>5</w:t>
      </w:r>
      <w:r w:rsidRPr="001046CB">
        <w:rPr>
          <w:rFonts w:ascii="Times New Roman" w:hAnsi="Times New Roman"/>
          <w:lang w:val="en-US"/>
        </w:rPr>
        <w:t>(1), 9-28. https://doi.org/10.1080/17421770903541772</w:t>
      </w:r>
    </w:p>
    <w:p w14:paraId="7CCE9E9E" w14:textId="77777777" w:rsidR="001046CB" w:rsidRPr="001046CB" w:rsidRDefault="001046CB" w:rsidP="001046CB">
      <w:pPr>
        <w:pStyle w:val="Bibliografa"/>
        <w:rPr>
          <w:rFonts w:ascii="Times New Roman" w:hAnsi="Times New Roman"/>
          <w:lang w:val="en-US"/>
        </w:rPr>
      </w:pPr>
      <w:proofErr w:type="spellStart"/>
      <w:r w:rsidRPr="001046CB">
        <w:rPr>
          <w:rFonts w:ascii="Times New Roman" w:hAnsi="Times New Roman"/>
          <w:lang w:val="en-US"/>
        </w:rPr>
        <w:t>Fingleton</w:t>
      </w:r>
      <w:proofErr w:type="spellEnd"/>
      <w:r w:rsidRPr="001046CB">
        <w:rPr>
          <w:rFonts w:ascii="Times New Roman" w:hAnsi="Times New Roman"/>
          <w:lang w:val="en-US"/>
        </w:rPr>
        <w:t xml:space="preserve">, B., &amp; Le Gallo, J. (2008). Estimating spatial models with endogenous variables, a spatial lag and spatially dependent disturbances: finite sample properties. </w:t>
      </w:r>
      <w:r w:rsidRPr="001046CB">
        <w:rPr>
          <w:rFonts w:ascii="Times New Roman" w:hAnsi="Times New Roman"/>
          <w:i/>
          <w:iCs/>
          <w:lang w:val="en-US"/>
        </w:rPr>
        <w:t>Papers in Regional Science</w:t>
      </w:r>
      <w:r w:rsidRPr="001046CB">
        <w:rPr>
          <w:rFonts w:ascii="Times New Roman" w:hAnsi="Times New Roman"/>
          <w:lang w:val="en-US"/>
        </w:rPr>
        <w:t xml:space="preserve">, </w:t>
      </w:r>
      <w:r w:rsidRPr="001046CB">
        <w:rPr>
          <w:rFonts w:ascii="Times New Roman" w:hAnsi="Times New Roman"/>
          <w:i/>
          <w:iCs/>
          <w:lang w:val="en-US"/>
        </w:rPr>
        <w:t>87</w:t>
      </w:r>
      <w:r w:rsidRPr="001046CB">
        <w:rPr>
          <w:rFonts w:ascii="Times New Roman" w:hAnsi="Times New Roman"/>
          <w:lang w:val="en-US"/>
        </w:rPr>
        <w:t>(3), 319–339.</w:t>
      </w:r>
    </w:p>
    <w:p w14:paraId="1DA81F97" w14:textId="77777777" w:rsidR="001046CB" w:rsidRPr="001046CB" w:rsidRDefault="001046CB" w:rsidP="001046CB">
      <w:pPr>
        <w:pStyle w:val="Bibliografa"/>
        <w:rPr>
          <w:rFonts w:ascii="Times New Roman" w:hAnsi="Times New Roman"/>
          <w:lang w:val="en-US"/>
        </w:rPr>
      </w:pPr>
      <w:r w:rsidRPr="001046CB">
        <w:rPr>
          <w:rFonts w:ascii="Times New Roman" w:hAnsi="Times New Roman"/>
          <w:lang w:val="en-US"/>
        </w:rPr>
        <w:t xml:space="preserve">Hastings, J. S. (2004). Vertical Relationships and Competition in Retail Gasoline Markets: Empirical Evidence from Contract Changes in Southern California. </w:t>
      </w:r>
      <w:r w:rsidRPr="001046CB">
        <w:rPr>
          <w:rFonts w:ascii="Times New Roman" w:hAnsi="Times New Roman"/>
          <w:i/>
          <w:iCs/>
          <w:lang w:val="en-US"/>
        </w:rPr>
        <w:t>The American Economic Review</w:t>
      </w:r>
      <w:r w:rsidRPr="001046CB">
        <w:rPr>
          <w:rFonts w:ascii="Times New Roman" w:hAnsi="Times New Roman"/>
          <w:lang w:val="en-US"/>
        </w:rPr>
        <w:t xml:space="preserve">, </w:t>
      </w:r>
      <w:r w:rsidRPr="001046CB">
        <w:rPr>
          <w:rFonts w:ascii="Times New Roman" w:hAnsi="Times New Roman"/>
          <w:i/>
          <w:iCs/>
          <w:lang w:val="en-US"/>
        </w:rPr>
        <w:t>94</w:t>
      </w:r>
      <w:r w:rsidRPr="001046CB">
        <w:rPr>
          <w:rFonts w:ascii="Times New Roman" w:hAnsi="Times New Roman"/>
          <w:lang w:val="en-US"/>
        </w:rPr>
        <w:t xml:space="preserve">(1), 317-328. </w:t>
      </w:r>
      <w:proofErr w:type="spellStart"/>
      <w:r w:rsidRPr="001046CB">
        <w:rPr>
          <w:rFonts w:ascii="Times New Roman" w:hAnsi="Times New Roman"/>
          <w:lang w:val="en-US"/>
        </w:rPr>
        <w:t>Recuperado</w:t>
      </w:r>
      <w:proofErr w:type="spellEnd"/>
      <w:r w:rsidRPr="001046CB">
        <w:rPr>
          <w:rFonts w:ascii="Times New Roman" w:hAnsi="Times New Roman"/>
          <w:lang w:val="en-US"/>
        </w:rPr>
        <w:t xml:space="preserve"> de https://www.jstor.org/stable/3592781</w:t>
      </w:r>
    </w:p>
    <w:p w14:paraId="55D0B800" w14:textId="77777777" w:rsidR="001046CB" w:rsidRPr="001046CB" w:rsidRDefault="001046CB" w:rsidP="001046CB">
      <w:pPr>
        <w:pStyle w:val="Bibliografa"/>
        <w:rPr>
          <w:rFonts w:ascii="Times New Roman" w:hAnsi="Times New Roman"/>
          <w:lang w:val="en-US"/>
        </w:rPr>
      </w:pPr>
      <w:proofErr w:type="spellStart"/>
      <w:r w:rsidRPr="001046CB">
        <w:rPr>
          <w:rFonts w:ascii="Times New Roman" w:hAnsi="Times New Roman"/>
          <w:lang w:val="en-US"/>
        </w:rPr>
        <w:t>Houde</w:t>
      </w:r>
      <w:proofErr w:type="spellEnd"/>
      <w:r w:rsidRPr="001046CB">
        <w:rPr>
          <w:rFonts w:ascii="Times New Roman" w:hAnsi="Times New Roman"/>
          <w:lang w:val="en-US"/>
        </w:rPr>
        <w:t xml:space="preserve">, J.-F. (2012). Spatial Differentiation and Vertical Mergers in Retail Markets for Gasoline. </w:t>
      </w:r>
      <w:r w:rsidRPr="001046CB">
        <w:rPr>
          <w:rFonts w:ascii="Times New Roman" w:hAnsi="Times New Roman"/>
          <w:i/>
          <w:iCs/>
          <w:lang w:val="en-US"/>
        </w:rPr>
        <w:t>American Economic Review</w:t>
      </w:r>
      <w:r w:rsidRPr="001046CB">
        <w:rPr>
          <w:rFonts w:ascii="Times New Roman" w:hAnsi="Times New Roman"/>
          <w:lang w:val="en-US"/>
        </w:rPr>
        <w:t xml:space="preserve">, </w:t>
      </w:r>
      <w:r w:rsidRPr="001046CB">
        <w:rPr>
          <w:rFonts w:ascii="Times New Roman" w:hAnsi="Times New Roman"/>
          <w:i/>
          <w:iCs/>
          <w:lang w:val="en-US"/>
        </w:rPr>
        <w:t>102</w:t>
      </w:r>
      <w:r w:rsidRPr="001046CB">
        <w:rPr>
          <w:rFonts w:ascii="Times New Roman" w:hAnsi="Times New Roman"/>
          <w:lang w:val="en-US"/>
        </w:rPr>
        <w:t>(5), 2147-2182. https://doi.org/10.1257/aer.102.5.2147</w:t>
      </w:r>
    </w:p>
    <w:p w14:paraId="432FB12A" w14:textId="77777777" w:rsidR="001046CB" w:rsidRPr="001046CB" w:rsidRDefault="001046CB" w:rsidP="001046CB">
      <w:pPr>
        <w:pStyle w:val="Bibliografa"/>
        <w:rPr>
          <w:rFonts w:ascii="Times New Roman" w:hAnsi="Times New Roman"/>
          <w:lang w:val="en-US"/>
        </w:rPr>
      </w:pPr>
      <w:proofErr w:type="spellStart"/>
      <w:r w:rsidRPr="001046CB">
        <w:rPr>
          <w:rFonts w:ascii="Times New Roman" w:hAnsi="Times New Roman"/>
          <w:lang w:val="en-US"/>
        </w:rPr>
        <w:t>LeSage</w:t>
      </w:r>
      <w:proofErr w:type="spellEnd"/>
      <w:r w:rsidRPr="001046CB">
        <w:rPr>
          <w:rFonts w:ascii="Times New Roman" w:hAnsi="Times New Roman"/>
          <w:lang w:val="en-US"/>
        </w:rPr>
        <w:t xml:space="preserve">, J., &amp; Pace, R. K. (2009). </w:t>
      </w:r>
      <w:r w:rsidRPr="001046CB">
        <w:rPr>
          <w:rFonts w:ascii="Times New Roman" w:hAnsi="Times New Roman"/>
          <w:i/>
          <w:iCs/>
          <w:lang w:val="en-US"/>
        </w:rPr>
        <w:t>Introduction to spatial econometrics</w:t>
      </w:r>
      <w:r w:rsidRPr="001046CB">
        <w:rPr>
          <w:rFonts w:ascii="Times New Roman" w:hAnsi="Times New Roman"/>
          <w:lang w:val="en-US"/>
        </w:rPr>
        <w:t>. Chapman and Hall/CRC.</w:t>
      </w:r>
    </w:p>
    <w:p w14:paraId="17AC77F2" w14:textId="77777777" w:rsidR="001046CB" w:rsidRPr="001046CB" w:rsidRDefault="001046CB" w:rsidP="001046CB">
      <w:pPr>
        <w:pStyle w:val="Bibliografa"/>
        <w:rPr>
          <w:rFonts w:ascii="Times New Roman" w:hAnsi="Times New Roman"/>
        </w:rPr>
      </w:pPr>
      <w:r w:rsidRPr="001046CB">
        <w:rPr>
          <w:rFonts w:ascii="Times New Roman" w:hAnsi="Times New Roman"/>
        </w:rPr>
        <w:t xml:space="preserve">Lima Cómo Vamos. (2018). </w:t>
      </w:r>
      <w:r w:rsidRPr="001046CB">
        <w:rPr>
          <w:rFonts w:ascii="Times New Roman" w:hAnsi="Times New Roman"/>
          <w:i/>
          <w:iCs/>
        </w:rPr>
        <w:t>Encuesta Lima Cómo Vamos 2018</w:t>
      </w:r>
      <w:r w:rsidRPr="001046CB">
        <w:rPr>
          <w:rFonts w:ascii="Times New Roman" w:hAnsi="Times New Roman"/>
        </w:rPr>
        <w:t xml:space="preserve"> [Encuesta]. Recuperado de http://www.limacomovamos.org/cm/wp-content/uploads/2018/12/EncuestaLimaComoVamos2018.pdf</w:t>
      </w:r>
    </w:p>
    <w:p w14:paraId="4E8230AA" w14:textId="77777777" w:rsidR="001046CB" w:rsidRPr="001046CB" w:rsidRDefault="001046CB" w:rsidP="001046CB">
      <w:pPr>
        <w:pStyle w:val="Bibliografa"/>
        <w:rPr>
          <w:rFonts w:ascii="Times New Roman" w:hAnsi="Times New Roman"/>
          <w:lang w:val="en-US"/>
        </w:rPr>
      </w:pPr>
      <w:proofErr w:type="spellStart"/>
      <w:r w:rsidRPr="001046CB">
        <w:rPr>
          <w:rFonts w:ascii="Times New Roman" w:hAnsi="Times New Roman"/>
          <w:lang w:val="en-US"/>
        </w:rPr>
        <w:t>Manski</w:t>
      </w:r>
      <w:proofErr w:type="spellEnd"/>
      <w:r w:rsidRPr="001046CB">
        <w:rPr>
          <w:rFonts w:ascii="Times New Roman" w:hAnsi="Times New Roman"/>
          <w:lang w:val="en-US"/>
        </w:rPr>
        <w:t xml:space="preserve">, C. F. (1993). Identification of endogenous social effects: The reflection problem. </w:t>
      </w:r>
      <w:r w:rsidRPr="001046CB">
        <w:rPr>
          <w:rFonts w:ascii="Times New Roman" w:hAnsi="Times New Roman"/>
          <w:i/>
          <w:iCs/>
          <w:lang w:val="en-US"/>
        </w:rPr>
        <w:t>The review of economic studies</w:t>
      </w:r>
      <w:r w:rsidRPr="001046CB">
        <w:rPr>
          <w:rFonts w:ascii="Times New Roman" w:hAnsi="Times New Roman"/>
          <w:lang w:val="en-US"/>
        </w:rPr>
        <w:t xml:space="preserve">, </w:t>
      </w:r>
      <w:r w:rsidRPr="001046CB">
        <w:rPr>
          <w:rFonts w:ascii="Times New Roman" w:hAnsi="Times New Roman"/>
          <w:i/>
          <w:iCs/>
          <w:lang w:val="en-US"/>
        </w:rPr>
        <w:t>60</w:t>
      </w:r>
      <w:r w:rsidRPr="001046CB">
        <w:rPr>
          <w:rFonts w:ascii="Times New Roman" w:hAnsi="Times New Roman"/>
          <w:lang w:val="en-US"/>
        </w:rPr>
        <w:t>(3), 531–542.</w:t>
      </w:r>
    </w:p>
    <w:p w14:paraId="7391DAF9" w14:textId="77777777" w:rsidR="001046CB" w:rsidRPr="001046CB" w:rsidRDefault="001046CB" w:rsidP="001046CB">
      <w:pPr>
        <w:pStyle w:val="Bibliografa"/>
        <w:rPr>
          <w:rFonts w:ascii="Times New Roman" w:hAnsi="Times New Roman"/>
          <w:lang w:val="en-US"/>
        </w:rPr>
      </w:pPr>
      <w:proofErr w:type="spellStart"/>
      <w:r w:rsidRPr="001046CB">
        <w:rPr>
          <w:rFonts w:ascii="Times New Roman" w:hAnsi="Times New Roman"/>
          <w:lang w:val="en-US"/>
        </w:rPr>
        <w:t>Manuszak</w:t>
      </w:r>
      <w:proofErr w:type="spellEnd"/>
      <w:r w:rsidRPr="001046CB">
        <w:rPr>
          <w:rFonts w:ascii="Times New Roman" w:hAnsi="Times New Roman"/>
          <w:lang w:val="en-US"/>
        </w:rPr>
        <w:t xml:space="preserve">, M. D. (2010). Predicting the impact of upstream mergers on downstream markets with an application to the retail gasoline industry. </w:t>
      </w:r>
      <w:r w:rsidRPr="001046CB">
        <w:rPr>
          <w:rFonts w:ascii="Times New Roman" w:hAnsi="Times New Roman"/>
          <w:i/>
          <w:iCs/>
          <w:lang w:val="en-US"/>
        </w:rPr>
        <w:t>International Journal of Industrial Organization</w:t>
      </w:r>
      <w:r w:rsidRPr="001046CB">
        <w:rPr>
          <w:rFonts w:ascii="Times New Roman" w:hAnsi="Times New Roman"/>
          <w:lang w:val="en-US"/>
        </w:rPr>
        <w:t xml:space="preserve">, </w:t>
      </w:r>
      <w:r w:rsidRPr="001046CB">
        <w:rPr>
          <w:rFonts w:ascii="Times New Roman" w:hAnsi="Times New Roman"/>
          <w:i/>
          <w:iCs/>
          <w:lang w:val="en-US"/>
        </w:rPr>
        <w:t>28</w:t>
      </w:r>
      <w:r w:rsidRPr="001046CB">
        <w:rPr>
          <w:rFonts w:ascii="Times New Roman" w:hAnsi="Times New Roman"/>
          <w:lang w:val="en-US"/>
        </w:rPr>
        <w:t>(1), 99-111. https://doi.org/10.1016/j.ijindorg.2009.07.002</w:t>
      </w:r>
    </w:p>
    <w:p w14:paraId="3D8A6DE8" w14:textId="77777777" w:rsidR="001046CB" w:rsidRPr="001046CB" w:rsidRDefault="001046CB" w:rsidP="001046CB">
      <w:pPr>
        <w:pStyle w:val="Bibliografa"/>
        <w:rPr>
          <w:rFonts w:ascii="Times New Roman" w:hAnsi="Times New Roman"/>
        </w:rPr>
      </w:pPr>
      <w:r w:rsidRPr="001046CB">
        <w:rPr>
          <w:rFonts w:ascii="Times New Roman" w:hAnsi="Times New Roman"/>
        </w:rPr>
        <w:lastRenderedPageBreak/>
        <w:t xml:space="preserve">Organismo Supervisor de la Inversión en Energía y Minería. (2015). </w:t>
      </w:r>
      <w:r w:rsidRPr="001046CB">
        <w:rPr>
          <w:rFonts w:ascii="Times New Roman" w:hAnsi="Times New Roman"/>
          <w:i/>
          <w:iCs/>
        </w:rPr>
        <w:t>La industria de los hidrocarburos líquidos en el Perú: 20 años de aporte al desarrollo del país</w:t>
      </w:r>
      <w:r w:rsidRPr="001046CB">
        <w:rPr>
          <w:rFonts w:ascii="Times New Roman" w:hAnsi="Times New Roman"/>
        </w:rPr>
        <w:t>. Recuperado de http://www.osinergmin.gob.pe/seccion/centro_documental/Institucional/Estudios_Economicos/Libros/Libro-industria-hidrocarburos-liquidos-Peru.pdf</w:t>
      </w:r>
    </w:p>
    <w:p w14:paraId="02A7230B" w14:textId="77777777" w:rsidR="001046CB" w:rsidRPr="001046CB" w:rsidRDefault="001046CB" w:rsidP="001046CB">
      <w:pPr>
        <w:pStyle w:val="Bibliografa"/>
        <w:rPr>
          <w:rFonts w:ascii="Times New Roman" w:hAnsi="Times New Roman"/>
          <w:lang w:val="en-US"/>
        </w:rPr>
      </w:pPr>
      <w:r w:rsidRPr="001046CB">
        <w:rPr>
          <w:rFonts w:ascii="Times New Roman" w:hAnsi="Times New Roman"/>
          <w:lang w:val="en-US"/>
        </w:rPr>
        <w:t xml:space="preserve">Pennerstorfer, D. (2009). Spatial price competition in retail gasoline markets: evidence from Austria. </w:t>
      </w:r>
      <w:r w:rsidRPr="001046CB">
        <w:rPr>
          <w:rFonts w:ascii="Times New Roman" w:hAnsi="Times New Roman"/>
          <w:i/>
          <w:iCs/>
          <w:lang w:val="en-US"/>
        </w:rPr>
        <w:t>The Annals of Regional Science</w:t>
      </w:r>
      <w:r w:rsidRPr="001046CB">
        <w:rPr>
          <w:rFonts w:ascii="Times New Roman" w:hAnsi="Times New Roman"/>
          <w:lang w:val="en-US"/>
        </w:rPr>
        <w:t xml:space="preserve">, </w:t>
      </w:r>
      <w:r w:rsidRPr="001046CB">
        <w:rPr>
          <w:rFonts w:ascii="Times New Roman" w:hAnsi="Times New Roman"/>
          <w:i/>
          <w:iCs/>
          <w:lang w:val="en-US"/>
        </w:rPr>
        <w:t>43</w:t>
      </w:r>
      <w:r w:rsidRPr="001046CB">
        <w:rPr>
          <w:rFonts w:ascii="Times New Roman" w:hAnsi="Times New Roman"/>
          <w:lang w:val="en-US"/>
        </w:rPr>
        <w:t>(1), 133-158. https://doi.org/10.1007/s00168-007-0206-7</w:t>
      </w:r>
    </w:p>
    <w:p w14:paraId="60F81497" w14:textId="77777777" w:rsidR="001046CB" w:rsidRPr="001046CB" w:rsidRDefault="001046CB" w:rsidP="001046CB">
      <w:pPr>
        <w:pStyle w:val="Bibliografa"/>
        <w:rPr>
          <w:rFonts w:ascii="Times New Roman" w:hAnsi="Times New Roman"/>
          <w:lang w:val="en-US"/>
        </w:rPr>
      </w:pPr>
      <w:r w:rsidRPr="001046CB">
        <w:rPr>
          <w:rFonts w:ascii="Times New Roman" w:hAnsi="Times New Roman"/>
          <w:lang w:val="en-US"/>
        </w:rPr>
        <w:t xml:space="preserve">Pennerstorfer, D., &amp; Weiss, C. (2013). Spatial clustering and market power: Evidence from the retail gasoline market. </w:t>
      </w:r>
      <w:r w:rsidRPr="001046CB">
        <w:rPr>
          <w:rFonts w:ascii="Times New Roman" w:hAnsi="Times New Roman"/>
          <w:i/>
          <w:iCs/>
          <w:lang w:val="en-US"/>
        </w:rPr>
        <w:t>Regional Science and Urban Economics</w:t>
      </w:r>
      <w:r w:rsidRPr="001046CB">
        <w:rPr>
          <w:rFonts w:ascii="Times New Roman" w:hAnsi="Times New Roman"/>
          <w:lang w:val="en-US"/>
        </w:rPr>
        <w:t xml:space="preserve">, </w:t>
      </w:r>
      <w:r w:rsidRPr="001046CB">
        <w:rPr>
          <w:rFonts w:ascii="Times New Roman" w:hAnsi="Times New Roman"/>
          <w:i/>
          <w:iCs/>
          <w:lang w:val="en-US"/>
        </w:rPr>
        <w:t>43</w:t>
      </w:r>
      <w:r w:rsidRPr="001046CB">
        <w:rPr>
          <w:rFonts w:ascii="Times New Roman" w:hAnsi="Times New Roman"/>
          <w:lang w:val="en-US"/>
        </w:rPr>
        <w:t>(4), 661-675. https://doi.org/10.1016/j.regsciurbeco.2013.04.002</w:t>
      </w:r>
    </w:p>
    <w:p w14:paraId="283ADC85" w14:textId="77777777" w:rsidR="001046CB" w:rsidRPr="001046CB" w:rsidRDefault="001046CB" w:rsidP="001046CB">
      <w:pPr>
        <w:pStyle w:val="Bibliografa"/>
        <w:rPr>
          <w:rFonts w:ascii="Times New Roman" w:hAnsi="Times New Roman"/>
          <w:lang w:val="en-US"/>
        </w:rPr>
      </w:pPr>
      <w:r w:rsidRPr="001046CB">
        <w:rPr>
          <w:rFonts w:ascii="Times New Roman" w:hAnsi="Times New Roman"/>
        </w:rPr>
        <w:t xml:space="preserve">Pintado, A. B., &amp; </w:t>
      </w:r>
      <w:proofErr w:type="spellStart"/>
      <w:r w:rsidRPr="001046CB">
        <w:rPr>
          <w:rFonts w:ascii="Times New Roman" w:hAnsi="Times New Roman"/>
        </w:rPr>
        <w:t>Contín-Pilart</w:t>
      </w:r>
      <w:proofErr w:type="spellEnd"/>
      <w:r w:rsidRPr="001046CB">
        <w:rPr>
          <w:rFonts w:ascii="Times New Roman" w:hAnsi="Times New Roman"/>
        </w:rPr>
        <w:t xml:space="preserve">, I. (2010). Influencia de los factores de localización en la fijación de los precios de los carburantes de automoción en España. </w:t>
      </w:r>
      <w:proofErr w:type="spellStart"/>
      <w:r w:rsidRPr="001046CB">
        <w:rPr>
          <w:rFonts w:ascii="Times New Roman" w:hAnsi="Times New Roman"/>
          <w:i/>
          <w:iCs/>
          <w:lang w:val="en-US"/>
        </w:rPr>
        <w:t>Cuadernos</w:t>
      </w:r>
      <w:proofErr w:type="spellEnd"/>
      <w:r w:rsidRPr="001046CB">
        <w:rPr>
          <w:rFonts w:ascii="Times New Roman" w:hAnsi="Times New Roman"/>
          <w:i/>
          <w:iCs/>
          <w:lang w:val="en-US"/>
        </w:rPr>
        <w:t xml:space="preserve"> </w:t>
      </w:r>
      <w:proofErr w:type="spellStart"/>
      <w:r w:rsidRPr="001046CB">
        <w:rPr>
          <w:rFonts w:ascii="Times New Roman" w:hAnsi="Times New Roman"/>
          <w:i/>
          <w:iCs/>
          <w:lang w:val="en-US"/>
        </w:rPr>
        <w:t>económicos</w:t>
      </w:r>
      <w:proofErr w:type="spellEnd"/>
      <w:r w:rsidRPr="001046CB">
        <w:rPr>
          <w:rFonts w:ascii="Times New Roman" w:hAnsi="Times New Roman"/>
          <w:i/>
          <w:iCs/>
          <w:lang w:val="en-US"/>
        </w:rPr>
        <w:t xml:space="preserve"> de ICE</w:t>
      </w:r>
      <w:r w:rsidRPr="001046CB">
        <w:rPr>
          <w:rFonts w:ascii="Times New Roman" w:hAnsi="Times New Roman"/>
          <w:lang w:val="en-US"/>
        </w:rPr>
        <w:t>, (79).</w:t>
      </w:r>
    </w:p>
    <w:p w14:paraId="752AA7DD" w14:textId="77777777" w:rsidR="001046CB" w:rsidRPr="001046CB" w:rsidRDefault="001046CB" w:rsidP="001046CB">
      <w:pPr>
        <w:pStyle w:val="Bibliografa"/>
        <w:rPr>
          <w:rFonts w:ascii="Times New Roman" w:hAnsi="Times New Roman"/>
          <w:lang w:val="en-US"/>
        </w:rPr>
      </w:pPr>
      <w:r w:rsidRPr="001046CB">
        <w:rPr>
          <w:rFonts w:ascii="Times New Roman" w:hAnsi="Times New Roman"/>
          <w:lang w:val="en-US"/>
        </w:rPr>
        <w:t xml:space="preserve">Simpson, J., &amp; Taylor, C. (2008). Do Gasoline Mergers Affect Consumer Prices? The Marathon Ashland Petroleum and Ultramar Diamond Shamrock Transaction. </w:t>
      </w:r>
      <w:r w:rsidRPr="001046CB">
        <w:rPr>
          <w:rFonts w:ascii="Times New Roman" w:hAnsi="Times New Roman"/>
          <w:i/>
          <w:iCs/>
          <w:lang w:val="en-US"/>
        </w:rPr>
        <w:t>The Journal of Law and Economics</w:t>
      </w:r>
      <w:r w:rsidRPr="001046CB">
        <w:rPr>
          <w:rFonts w:ascii="Times New Roman" w:hAnsi="Times New Roman"/>
          <w:lang w:val="en-US"/>
        </w:rPr>
        <w:t xml:space="preserve">, </w:t>
      </w:r>
      <w:r w:rsidRPr="001046CB">
        <w:rPr>
          <w:rFonts w:ascii="Times New Roman" w:hAnsi="Times New Roman"/>
          <w:i/>
          <w:iCs/>
          <w:lang w:val="en-US"/>
        </w:rPr>
        <w:t>51</w:t>
      </w:r>
      <w:r w:rsidRPr="001046CB">
        <w:rPr>
          <w:rFonts w:ascii="Times New Roman" w:hAnsi="Times New Roman"/>
          <w:lang w:val="en-US"/>
        </w:rPr>
        <w:t>(1), 135-152. https://doi.org/10.1086/520004</w:t>
      </w:r>
    </w:p>
    <w:p w14:paraId="0076C96B" w14:textId="77777777" w:rsidR="001046CB" w:rsidRPr="001046CB" w:rsidRDefault="001046CB" w:rsidP="001046CB">
      <w:pPr>
        <w:pStyle w:val="Bibliografa"/>
        <w:rPr>
          <w:rFonts w:ascii="Times New Roman" w:hAnsi="Times New Roman"/>
          <w:lang w:val="en-US"/>
        </w:rPr>
      </w:pPr>
      <w:r w:rsidRPr="001046CB">
        <w:rPr>
          <w:rFonts w:ascii="Times New Roman" w:hAnsi="Times New Roman"/>
          <w:lang w:val="en-US"/>
        </w:rPr>
        <w:t xml:space="preserve">Slade, M. E. (1992). Vancouver’s Gasoline-Price Wars: An Empirical Exercise in Uncovering </w:t>
      </w:r>
      <w:proofErr w:type="spellStart"/>
      <w:r w:rsidRPr="001046CB">
        <w:rPr>
          <w:rFonts w:ascii="Times New Roman" w:hAnsi="Times New Roman"/>
          <w:lang w:val="en-US"/>
        </w:rPr>
        <w:t>Supergame</w:t>
      </w:r>
      <w:proofErr w:type="spellEnd"/>
      <w:r w:rsidRPr="001046CB">
        <w:rPr>
          <w:rFonts w:ascii="Times New Roman" w:hAnsi="Times New Roman"/>
          <w:lang w:val="en-US"/>
        </w:rPr>
        <w:t xml:space="preserve"> Strategies. </w:t>
      </w:r>
      <w:r w:rsidRPr="001046CB">
        <w:rPr>
          <w:rFonts w:ascii="Times New Roman" w:hAnsi="Times New Roman"/>
          <w:i/>
          <w:iCs/>
          <w:lang w:val="en-US"/>
        </w:rPr>
        <w:t>The Review of Economic Studies</w:t>
      </w:r>
      <w:r w:rsidRPr="001046CB">
        <w:rPr>
          <w:rFonts w:ascii="Times New Roman" w:hAnsi="Times New Roman"/>
          <w:lang w:val="en-US"/>
        </w:rPr>
        <w:t xml:space="preserve">, </w:t>
      </w:r>
      <w:r w:rsidRPr="001046CB">
        <w:rPr>
          <w:rFonts w:ascii="Times New Roman" w:hAnsi="Times New Roman"/>
          <w:i/>
          <w:iCs/>
          <w:lang w:val="en-US"/>
        </w:rPr>
        <w:t>59</w:t>
      </w:r>
      <w:r w:rsidRPr="001046CB">
        <w:rPr>
          <w:rFonts w:ascii="Times New Roman" w:hAnsi="Times New Roman"/>
          <w:lang w:val="en-US"/>
        </w:rPr>
        <w:t>(2), 257. https://doi.org/10.2307/2297954</w:t>
      </w:r>
    </w:p>
    <w:p w14:paraId="6819B25C" w14:textId="77777777" w:rsidR="001046CB" w:rsidRPr="001046CB" w:rsidRDefault="001046CB" w:rsidP="001046CB">
      <w:pPr>
        <w:pStyle w:val="Bibliografa"/>
        <w:rPr>
          <w:rFonts w:ascii="Times New Roman" w:hAnsi="Times New Roman"/>
        </w:rPr>
      </w:pPr>
      <w:proofErr w:type="spellStart"/>
      <w:r w:rsidRPr="001046CB">
        <w:rPr>
          <w:rFonts w:ascii="Times New Roman" w:hAnsi="Times New Roman"/>
          <w:lang w:val="en-US"/>
        </w:rPr>
        <w:t>Stakhovych</w:t>
      </w:r>
      <w:proofErr w:type="spellEnd"/>
      <w:r w:rsidRPr="001046CB">
        <w:rPr>
          <w:rFonts w:ascii="Times New Roman" w:hAnsi="Times New Roman"/>
          <w:lang w:val="en-US"/>
        </w:rPr>
        <w:t xml:space="preserve">, S., &amp; </w:t>
      </w:r>
      <w:proofErr w:type="spellStart"/>
      <w:r w:rsidRPr="001046CB">
        <w:rPr>
          <w:rFonts w:ascii="Times New Roman" w:hAnsi="Times New Roman"/>
          <w:lang w:val="en-US"/>
        </w:rPr>
        <w:t>Bijmolt</w:t>
      </w:r>
      <w:proofErr w:type="spellEnd"/>
      <w:r w:rsidRPr="001046CB">
        <w:rPr>
          <w:rFonts w:ascii="Times New Roman" w:hAnsi="Times New Roman"/>
          <w:lang w:val="en-US"/>
        </w:rPr>
        <w:t xml:space="preserve">, T. H. (2009). Specification of spatial models: A simulation study on weights matrices. </w:t>
      </w:r>
      <w:proofErr w:type="spellStart"/>
      <w:r w:rsidRPr="001046CB">
        <w:rPr>
          <w:rFonts w:ascii="Times New Roman" w:hAnsi="Times New Roman"/>
          <w:i/>
          <w:iCs/>
        </w:rPr>
        <w:t>Papers</w:t>
      </w:r>
      <w:proofErr w:type="spellEnd"/>
      <w:r w:rsidRPr="001046CB">
        <w:rPr>
          <w:rFonts w:ascii="Times New Roman" w:hAnsi="Times New Roman"/>
          <w:i/>
          <w:iCs/>
        </w:rPr>
        <w:t xml:space="preserve"> in Regional </w:t>
      </w:r>
      <w:proofErr w:type="spellStart"/>
      <w:r w:rsidRPr="001046CB">
        <w:rPr>
          <w:rFonts w:ascii="Times New Roman" w:hAnsi="Times New Roman"/>
          <w:i/>
          <w:iCs/>
        </w:rPr>
        <w:t>Science</w:t>
      </w:r>
      <w:proofErr w:type="spellEnd"/>
      <w:r w:rsidRPr="001046CB">
        <w:rPr>
          <w:rFonts w:ascii="Times New Roman" w:hAnsi="Times New Roman"/>
        </w:rPr>
        <w:t xml:space="preserve">, </w:t>
      </w:r>
      <w:r w:rsidRPr="001046CB">
        <w:rPr>
          <w:rFonts w:ascii="Times New Roman" w:hAnsi="Times New Roman"/>
          <w:i/>
          <w:iCs/>
        </w:rPr>
        <w:t>88</w:t>
      </w:r>
      <w:r w:rsidRPr="001046CB">
        <w:rPr>
          <w:rFonts w:ascii="Times New Roman" w:hAnsi="Times New Roman"/>
        </w:rPr>
        <w:t>(2), 389–408.</w:t>
      </w:r>
    </w:p>
    <w:p w14:paraId="326151A1" w14:textId="5EE01C43" w:rsidR="005104A3" w:rsidRDefault="005104A3" w:rsidP="005104A3">
      <w:r>
        <w:fldChar w:fldCharType="end"/>
      </w:r>
    </w:p>
    <w:sectPr w:rsidR="005104A3" w:rsidSect="00170A3D">
      <w:headerReference w:type="default" r:id="rId13"/>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02C15" w14:textId="77777777" w:rsidR="000B6883" w:rsidRDefault="000B6883" w:rsidP="00F57A1B">
      <w:r>
        <w:separator/>
      </w:r>
    </w:p>
  </w:endnote>
  <w:endnote w:type="continuationSeparator" w:id="0">
    <w:p w14:paraId="3DAD29BC" w14:textId="77777777" w:rsidR="000B6883" w:rsidRDefault="000B6883"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5B31B" w14:textId="77777777" w:rsidR="000B6883" w:rsidRDefault="000B6883" w:rsidP="00F57A1B">
      <w:r>
        <w:separator/>
      </w:r>
    </w:p>
  </w:footnote>
  <w:footnote w:type="continuationSeparator" w:id="0">
    <w:p w14:paraId="371BC2FC" w14:textId="77777777" w:rsidR="000B6883" w:rsidRDefault="000B6883" w:rsidP="00F57A1B">
      <w:r>
        <w:continuationSeparator/>
      </w:r>
    </w:p>
  </w:footnote>
  <w:footnote w:id="1">
    <w:p w14:paraId="17E0C81E" w14:textId="2F2E665B" w:rsidR="00DF6465" w:rsidRDefault="00DF6465"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DF6465" w:rsidRPr="00DB477C" w:rsidRDefault="00DF6465">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175BC62C" w:rsidR="00DF6465" w:rsidRDefault="00DF6465">
        <w:pPr>
          <w:pStyle w:val="Encabezado"/>
          <w:jc w:val="right"/>
        </w:pPr>
        <w:r>
          <w:fldChar w:fldCharType="begin"/>
        </w:r>
        <w:r>
          <w:instrText>PAGE   \* MERGEFORMAT</w:instrText>
        </w:r>
        <w:r>
          <w:fldChar w:fldCharType="separate"/>
        </w:r>
        <w:r w:rsidR="00243304">
          <w:rPr>
            <w:noProof/>
          </w:rPr>
          <w:t>23</w:t>
        </w:r>
        <w:r>
          <w:fldChar w:fldCharType="end"/>
        </w:r>
      </w:p>
    </w:sdtContent>
  </w:sdt>
  <w:p w14:paraId="48712C0F" w14:textId="77777777" w:rsidR="00DF6465" w:rsidRDefault="00DF6465"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71B0"/>
    <w:rsid w:val="00032777"/>
    <w:rsid w:val="0004424C"/>
    <w:rsid w:val="000534AB"/>
    <w:rsid w:val="0006185D"/>
    <w:rsid w:val="00067D45"/>
    <w:rsid w:val="0007726E"/>
    <w:rsid w:val="00091768"/>
    <w:rsid w:val="000B0CED"/>
    <w:rsid w:val="000B6883"/>
    <w:rsid w:val="000B68B8"/>
    <w:rsid w:val="000D15A3"/>
    <w:rsid w:val="000E1B51"/>
    <w:rsid w:val="000E5223"/>
    <w:rsid w:val="000E65A3"/>
    <w:rsid w:val="000F00BA"/>
    <w:rsid w:val="00103A41"/>
    <w:rsid w:val="001046CB"/>
    <w:rsid w:val="00105ABA"/>
    <w:rsid w:val="001162E9"/>
    <w:rsid w:val="00130F8F"/>
    <w:rsid w:val="00137AA9"/>
    <w:rsid w:val="001545F5"/>
    <w:rsid w:val="00170A3D"/>
    <w:rsid w:val="00173517"/>
    <w:rsid w:val="00175C54"/>
    <w:rsid w:val="00180658"/>
    <w:rsid w:val="00197033"/>
    <w:rsid w:val="001B1B76"/>
    <w:rsid w:val="001B67D3"/>
    <w:rsid w:val="001C4B13"/>
    <w:rsid w:val="001D7AC0"/>
    <w:rsid w:val="001E55B1"/>
    <w:rsid w:val="002031DD"/>
    <w:rsid w:val="00213DE0"/>
    <w:rsid w:val="00214C22"/>
    <w:rsid w:val="002215C9"/>
    <w:rsid w:val="002215E6"/>
    <w:rsid w:val="00221CA5"/>
    <w:rsid w:val="002423DB"/>
    <w:rsid w:val="00243304"/>
    <w:rsid w:val="00265C61"/>
    <w:rsid w:val="002757AF"/>
    <w:rsid w:val="002A08F0"/>
    <w:rsid w:val="002C12C7"/>
    <w:rsid w:val="002D26B3"/>
    <w:rsid w:val="002E0259"/>
    <w:rsid w:val="002E77DD"/>
    <w:rsid w:val="00301825"/>
    <w:rsid w:val="00314830"/>
    <w:rsid w:val="00314D2F"/>
    <w:rsid w:val="00333888"/>
    <w:rsid w:val="0036311B"/>
    <w:rsid w:val="00374199"/>
    <w:rsid w:val="0038259E"/>
    <w:rsid w:val="0039418B"/>
    <w:rsid w:val="003A5534"/>
    <w:rsid w:val="003D327C"/>
    <w:rsid w:val="003D593A"/>
    <w:rsid w:val="003D7632"/>
    <w:rsid w:val="00423B86"/>
    <w:rsid w:val="00445710"/>
    <w:rsid w:val="00452AEC"/>
    <w:rsid w:val="004762C5"/>
    <w:rsid w:val="00484455"/>
    <w:rsid w:val="00497B45"/>
    <w:rsid w:val="004C1D64"/>
    <w:rsid w:val="004C4ACE"/>
    <w:rsid w:val="004C7F43"/>
    <w:rsid w:val="004E0A9A"/>
    <w:rsid w:val="004E229A"/>
    <w:rsid w:val="004E5926"/>
    <w:rsid w:val="004F75F4"/>
    <w:rsid w:val="005104A3"/>
    <w:rsid w:val="00513B65"/>
    <w:rsid w:val="00525E80"/>
    <w:rsid w:val="0054336F"/>
    <w:rsid w:val="005470C8"/>
    <w:rsid w:val="005526A5"/>
    <w:rsid w:val="005566A4"/>
    <w:rsid w:val="00560D5E"/>
    <w:rsid w:val="0059570C"/>
    <w:rsid w:val="00596E98"/>
    <w:rsid w:val="005A5199"/>
    <w:rsid w:val="005B6C2F"/>
    <w:rsid w:val="00616257"/>
    <w:rsid w:val="006227D3"/>
    <w:rsid w:val="006507EA"/>
    <w:rsid w:val="00660EDE"/>
    <w:rsid w:val="00662EB4"/>
    <w:rsid w:val="006707EB"/>
    <w:rsid w:val="006A4061"/>
    <w:rsid w:val="006A62C8"/>
    <w:rsid w:val="006B3FC7"/>
    <w:rsid w:val="006C037F"/>
    <w:rsid w:val="006C1D5B"/>
    <w:rsid w:val="006C4AD8"/>
    <w:rsid w:val="006C6160"/>
    <w:rsid w:val="006D626F"/>
    <w:rsid w:val="006D7A32"/>
    <w:rsid w:val="006F269F"/>
    <w:rsid w:val="00715046"/>
    <w:rsid w:val="007152F3"/>
    <w:rsid w:val="007231E6"/>
    <w:rsid w:val="0072529F"/>
    <w:rsid w:val="00731127"/>
    <w:rsid w:val="007677ED"/>
    <w:rsid w:val="00770490"/>
    <w:rsid w:val="0077094F"/>
    <w:rsid w:val="00772F99"/>
    <w:rsid w:val="00782240"/>
    <w:rsid w:val="00796456"/>
    <w:rsid w:val="007A3BA0"/>
    <w:rsid w:val="007B4F71"/>
    <w:rsid w:val="007C4FE0"/>
    <w:rsid w:val="007D3B9A"/>
    <w:rsid w:val="007E719A"/>
    <w:rsid w:val="00802E4C"/>
    <w:rsid w:val="00821749"/>
    <w:rsid w:val="0083448B"/>
    <w:rsid w:val="00835398"/>
    <w:rsid w:val="00846295"/>
    <w:rsid w:val="00867976"/>
    <w:rsid w:val="00893DA0"/>
    <w:rsid w:val="008A5B92"/>
    <w:rsid w:val="008B699D"/>
    <w:rsid w:val="008C4504"/>
    <w:rsid w:val="008D19DC"/>
    <w:rsid w:val="008D2E84"/>
    <w:rsid w:val="008D617D"/>
    <w:rsid w:val="008D701F"/>
    <w:rsid w:val="008E2A06"/>
    <w:rsid w:val="00901A04"/>
    <w:rsid w:val="00924A41"/>
    <w:rsid w:val="00944BE0"/>
    <w:rsid w:val="0097621E"/>
    <w:rsid w:val="009773EE"/>
    <w:rsid w:val="009A1D02"/>
    <w:rsid w:val="009A3452"/>
    <w:rsid w:val="009A43D8"/>
    <w:rsid w:val="009B5FE5"/>
    <w:rsid w:val="009C691F"/>
    <w:rsid w:val="009D4F3E"/>
    <w:rsid w:val="009E0813"/>
    <w:rsid w:val="00A04D30"/>
    <w:rsid w:val="00A314E8"/>
    <w:rsid w:val="00A55014"/>
    <w:rsid w:val="00A622D4"/>
    <w:rsid w:val="00A815AC"/>
    <w:rsid w:val="00A91D92"/>
    <w:rsid w:val="00A96CAF"/>
    <w:rsid w:val="00AA059B"/>
    <w:rsid w:val="00AA2505"/>
    <w:rsid w:val="00AA3912"/>
    <w:rsid w:val="00AC5CFF"/>
    <w:rsid w:val="00AD5B83"/>
    <w:rsid w:val="00AE36B3"/>
    <w:rsid w:val="00AE7D0B"/>
    <w:rsid w:val="00AF3BCF"/>
    <w:rsid w:val="00AF6545"/>
    <w:rsid w:val="00B17F3B"/>
    <w:rsid w:val="00B55601"/>
    <w:rsid w:val="00B6446A"/>
    <w:rsid w:val="00B714F9"/>
    <w:rsid w:val="00B74098"/>
    <w:rsid w:val="00B838A8"/>
    <w:rsid w:val="00BD2C42"/>
    <w:rsid w:val="00BE2AFD"/>
    <w:rsid w:val="00C0182C"/>
    <w:rsid w:val="00C0599C"/>
    <w:rsid w:val="00C07F9C"/>
    <w:rsid w:val="00C14D1B"/>
    <w:rsid w:val="00C26DD6"/>
    <w:rsid w:val="00C26DDD"/>
    <w:rsid w:val="00C36A22"/>
    <w:rsid w:val="00C5153F"/>
    <w:rsid w:val="00C5594F"/>
    <w:rsid w:val="00C72315"/>
    <w:rsid w:val="00C8650E"/>
    <w:rsid w:val="00CA34B5"/>
    <w:rsid w:val="00CB4A95"/>
    <w:rsid w:val="00CB4D1B"/>
    <w:rsid w:val="00CC64D9"/>
    <w:rsid w:val="00CD5B0E"/>
    <w:rsid w:val="00CD64C6"/>
    <w:rsid w:val="00CF2550"/>
    <w:rsid w:val="00CF3910"/>
    <w:rsid w:val="00D13BCC"/>
    <w:rsid w:val="00D23401"/>
    <w:rsid w:val="00D26D6B"/>
    <w:rsid w:val="00D466ED"/>
    <w:rsid w:val="00D513A2"/>
    <w:rsid w:val="00D61883"/>
    <w:rsid w:val="00D86FD6"/>
    <w:rsid w:val="00D96538"/>
    <w:rsid w:val="00DA18E1"/>
    <w:rsid w:val="00DA31E8"/>
    <w:rsid w:val="00DA5659"/>
    <w:rsid w:val="00DA58E5"/>
    <w:rsid w:val="00DB157A"/>
    <w:rsid w:val="00DB36E8"/>
    <w:rsid w:val="00DB477C"/>
    <w:rsid w:val="00DE27ED"/>
    <w:rsid w:val="00DF6465"/>
    <w:rsid w:val="00E107A6"/>
    <w:rsid w:val="00E11291"/>
    <w:rsid w:val="00E1384B"/>
    <w:rsid w:val="00E15DF9"/>
    <w:rsid w:val="00E174E3"/>
    <w:rsid w:val="00E50C32"/>
    <w:rsid w:val="00E53480"/>
    <w:rsid w:val="00E66211"/>
    <w:rsid w:val="00E85234"/>
    <w:rsid w:val="00E8719E"/>
    <w:rsid w:val="00E95199"/>
    <w:rsid w:val="00EB4D69"/>
    <w:rsid w:val="00EC3D8A"/>
    <w:rsid w:val="00ED072A"/>
    <w:rsid w:val="00ED33D3"/>
    <w:rsid w:val="00EE471F"/>
    <w:rsid w:val="00EE6038"/>
    <w:rsid w:val="00F03D68"/>
    <w:rsid w:val="00F2093F"/>
    <w:rsid w:val="00F5278E"/>
    <w:rsid w:val="00F52BE8"/>
    <w:rsid w:val="00F55691"/>
    <w:rsid w:val="00F57A1B"/>
    <w:rsid w:val="00F7260E"/>
    <w:rsid w:val="00F7414C"/>
    <w:rsid w:val="00F752E8"/>
    <w:rsid w:val="00FA2CF8"/>
    <w:rsid w:val="00FC709D"/>
    <w:rsid w:val="00FE424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D1B"/>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link w:val="FuenteCar"/>
    <w:qFormat/>
    <w:rsid w:val="001046CB"/>
    <w:pPr>
      <w:spacing w:after="360" w:line="240" w:lineRule="auto"/>
      <w:jc w:val="left"/>
    </w:pPr>
    <w:rPr>
      <w:sz w:val="18"/>
      <w:szCs w:val="18"/>
    </w:rPr>
  </w:style>
  <w:style w:type="character" w:customStyle="1" w:styleId="FuenteCar">
    <w:name w:val="Fuente Car"/>
    <w:basedOn w:val="Fuentedeprrafopredeter"/>
    <w:link w:val="Fuente"/>
    <w:rsid w:val="001046CB"/>
    <w:rPr>
      <w:rFonts w:eastAsia="Times New Roman" w:cs="Times New Roman"/>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19"/>
    <w:rsid w:val="0069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3D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866DA-8ECA-4BBC-99C7-F6CB43E16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Pages>
  <Words>16585</Words>
  <Characters>94540</Characters>
  <Application>Microsoft Office Word</Application>
  <DocSecurity>0</DocSecurity>
  <Lines>787</Lines>
  <Paragraphs>221</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15</cp:revision>
  <cp:lastPrinted>2019-04-17T22:08:00Z</cp:lastPrinted>
  <dcterms:created xsi:type="dcterms:W3CDTF">2019-04-17T03:58:00Z</dcterms:created>
  <dcterms:modified xsi:type="dcterms:W3CDTF">2019-04-21T03:51:00Z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id="bgUAlgYy"/&gt;&lt;style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