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8CE14A" w14:textId="77777777" w:rsidR="00CD64C6" w:rsidRDefault="00CD64C6">
      <w:pPr>
        <w:spacing w:after="200" w:line="276" w:lineRule="auto"/>
        <w:jc w:val="left"/>
      </w:pPr>
      <w:r>
        <w:t>CARATULA</w:t>
      </w:r>
    </w:p>
    <w:p w14:paraId="20F60047" w14:textId="77777777" w:rsidR="00CD64C6" w:rsidRDefault="00CD64C6">
      <w:pPr>
        <w:spacing w:after="200" w:line="276" w:lineRule="auto"/>
        <w:jc w:val="left"/>
      </w:pPr>
      <w:r>
        <w:br w:type="page"/>
      </w:r>
    </w:p>
    <w:p w14:paraId="3D1333CF" w14:textId="77777777" w:rsidR="00CD64C6" w:rsidRDefault="00CD64C6">
      <w:pPr>
        <w:spacing w:after="200" w:line="276" w:lineRule="auto"/>
        <w:jc w:val="left"/>
      </w:pPr>
      <w:r>
        <w:lastRenderedPageBreak/>
        <w:t>DEDICATORIA</w:t>
      </w:r>
    </w:p>
    <w:p w14:paraId="2C031199" w14:textId="77777777" w:rsidR="00CD64C6" w:rsidRDefault="00CD64C6">
      <w:pPr>
        <w:spacing w:after="200" w:line="276" w:lineRule="auto"/>
        <w:jc w:val="left"/>
      </w:pPr>
      <w:r>
        <w:br w:type="page"/>
      </w:r>
    </w:p>
    <w:p w14:paraId="2873C896" w14:textId="77777777" w:rsidR="00CD64C6" w:rsidRDefault="00CD64C6">
      <w:pPr>
        <w:spacing w:after="200" w:line="276" w:lineRule="auto"/>
        <w:jc w:val="left"/>
      </w:pPr>
      <w:r>
        <w:lastRenderedPageBreak/>
        <w:t>INDICE</w:t>
      </w:r>
    </w:p>
    <w:p w14:paraId="2599185F" w14:textId="77777777" w:rsidR="00CD64C6" w:rsidRDefault="00CD64C6">
      <w:pPr>
        <w:spacing w:after="200" w:line="276" w:lineRule="auto"/>
        <w:jc w:val="left"/>
      </w:pPr>
      <w:r>
        <w:br w:type="page"/>
      </w:r>
    </w:p>
    <w:p w14:paraId="6A0A5870" w14:textId="77777777" w:rsidR="00CD64C6" w:rsidRDefault="00CD64C6">
      <w:pPr>
        <w:spacing w:after="200" w:line="276" w:lineRule="auto"/>
        <w:jc w:val="left"/>
      </w:pPr>
      <w:r>
        <w:lastRenderedPageBreak/>
        <w:t>INDICE DE TABLAS</w:t>
      </w:r>
    </w:p>
    <w:p w14:paraId="6BCDD342" w14:textId="77777777" w:rsidR="00CD64C6" w:rsidRDefault="00CD64C6">
      <w:pPr>
        <w:spacing w:after="200" w:line="276" w:lineRule="auto"/>
        <w:jc w:val="left"/>
      </w:pPr>
      <w:r>
        <w:br w:type="page"/>
      </w:r>
    </w:p>
    <w:p w14:paraId="71F4A8E3" w14:textId="77777777" w:rsidR="00CD64C6" w:rsidRDefault="00CD64C6">
      <w:pPr>
        <w:spacing w:after="200" w:line="276" w:lineRule="auto"/>
        <w:jc w:val="left"/>
      </w:pPr>
      <w:r>
        <w:lastRenderedPageBreak/>
        <w:t>INDICE DE GRAFICOS</w:t>
      </w:r>
    </w:p>
    <w:p w14:paraId="668B6973" w14:textId="77777777" w:rsidR="00CD64C6" w:rsidRDefault="00CD64C6">
      <w:pPr>
        <w:spacing w:after="200" w:line="276" w:lineRule="auto"/>
        <w:jc w:val="left"/>
      </w:pPr>
      <w:r>
        <w:br w:type="page"/>
      </w:r>
    </w:p>
    <w:p w14:paraId="6CB3E91E" w14:textId="54B9C6E6" w:rsidR="002215E6" w:rsidRPr="002C12C7" w:rsidRDefault="00A91D92" w:rsidP="000D15A3">
      <w:pPr>
        <w:pStyle w:val="Ttulo1"/>
      </w:pPr>
      <w:r w:rsidRPr="002C12C7">
        <w:lastRenderedPageBreak/>
        <w:t>Introducción</w:t>
      </w:r>
    </w:p>
    <w:p w14:paraId="7587CDA5" w14:textId="4CBA3EF4" w:rsidR="00170A3D" w:rsidRDefault="005470C8" w:rsidP="00F57A1B">
      <w:commentRangeStart w:id="0"/>
      <w:r>
        <w:t>Los</w:t>
      </w:r>
      <w:commentRangeEnd w:id="0"/>
      <w:r w:rsidR="003D593A">
        <w:rPr>
          <w:rStyle w:val="Refdecomentario"/>
        </w:rPr>
        <w:commentReference w:id="0"/>
      </w:r>
      <w:r>
        <w:t xml:space="preserve"> combustibles líquidos tienen su origen en el crudo de petróleo, cuyo precio se fija en mercados globales según marcadores reconocidos, con primas y castigos de acuerdo a la calidad del crudo (que haga más fácil </w:t>
      </w:r>
      <w:r w:rsidR="00835398">
        <w:t xml:space="preserve">o difícil su procesamiento y la obtención de combustibles comerciales). Las refinerías procesan el crudo y obtienen un margen que depende su complejidad (inversión de capital) y de su eficiencia operativa. Finalmente, las refinerías </w:t>
      </w:r>
      <w:r w:rsidR="009A43D8">
        <w:t>venden combustibles estandarizados a mayoristas de combustibles cuya participación en la cadena de valor es la de transporte, almacenaje y venta al minorista. Finalmente, l</w:t>
      </w:r>
      <w:r w:rsidR="00835398">
        <w:t xml:space="preserve">os países </w:t>
      </w:r>
      <w:r w:rsidR="009A43D8">
        <w:t xml:space="preserve">tienen normas que </w:t>
      </w:r>
      <w:r w:rsidR="00835398">
        <w:t>regulan l</w:t>
      </w:r>
      <w:r w:rsidR="009A43D8">
        <w:t>a</w:t>
      </w:r>
      <w:r w:rsidR="00835398">
        <w:t xml:space="preserve"> </w:t>
      </w:r>
      <w:r w:rsidR="009A43D8">
        <w:t xml:space="preserve">calidad del combustible líquido </w:t>
      </w:r>
      <w:r w:rsidR="00835398">
        <w:t xml:space="preserve">de venta al público </w:t>
      </w:r>
      <w:r w:rsidR="009A43D8">
        <w:t>final por lo que los consumidores acceden a un producto homogéneo.</w:t>
      </w:r>
    </w:p>
    <w:p w14:paraId="43DC99E1" w14:textId="51E74A0C" w:rsidR="007B4F71" w:rsidRDefault="009A43D8" w:rsidP="00F57A1B">
      <w:r>
        <w:t>La descripción anterior coincide con la de un mercado competitivo, donde tenemos numerosas estaciones que venden un producto homogéneo a consumidores que se preocupan con el precio. Como los precios de los combustibles se encuentran publicados en cada estación y visibles tanto a consumidores como a estaciones rivales</w:t>
      </w:r>
      <w:r w:rsidR="007B4F71">
        <w:t xml:space="preserve">, podríamos modelar este mercado minorista como uno de competencia perfecta. El problema reside en asumir que se trata de un producto completamente homogéneo ya que estaríamos ignorando que las estaciones se pueden diferenciar por calidad percibida, servicios extras adicionales, tipo de atención, y otras características sobre las cuales el consumidor puede mostrar </w:t>
      </w:r>
      <w:commentRangeStart w:id="1"/>
      <w:r w:rsidR="007B4F71">
        <w:t>preferencias</w:t>
      </w:r>
      <w:commentRangeEnd w:id="1"/>
      <w:r w:rsidR="00513B65">
        <w:rPr>
          <w:rStyle w:val="Refdecomentario"/>
        </w:rPr>
        <w:commentReference w:id="1"/>
      </w:r>
      <w:r w:rsidR="007B4F71">
        <w:t xml:space="preserve">. </w:t>
      </w:r>
      <w:commentRangeStart w:id="2"/>
      <w:r w:rsidR="007B4F71">
        <w:t>Sin embargo, los individuos también incurren en costos de movilización al elegir una estación, y a su vez las estaciones compiten m</w:t>
      </w:r>
      <w:commentRangeEnd w:id="2"/>
      <w:r w:rsidR="007B4F71">
        <w:rPr>
          <w:rStyle w:val="Refdecomentario"/>
        </w:rPr>
        <w:commentReference w:id="2"/>
      </w:r>
    </w:p>
    <w:p w14:paraId="01082AC7" w14:textId="3E76900F" w:rsidR="00513B65" w:rsidRDefault="00513B65" w:rsidP="00F57A1B">
      <w:r>
        <w:t xml:space="preserve">En el caso de Perú, los precios de los combustibles son fuente común de noticias debido a sus impactos directos e indirectos en la población. En el Perú, el XX% tiene acceso a un auto privado, en tanto que ese porcentaje se eleva a YY% en el caso de Lima. A su vez, el transporte público que traslada al ZZ% de la ciudad funciona en base a combustible diésel, así como los camiones que trasladan los alimentos desde los centros de producción a la capital. Es decir, incrementos en los precios de combustibles afectan el bienestar de las personas y de allí que se vuelvan periódicamente un foco noticioso. </w:t>
      </w:r>
    </w:p>
    <w:p w14:paraId="0F0BFE24" w14:textId="6C145995" w:rsidR="00A04D30" w:rsidRPr="00662EB4" w:rsidRDefault="00A04D30" w:rsidP="00F57A1B">
      <w:r w:rsidRPr="00662EB4">
        <w:t>A pesar del interés público en los precios de los combustibles, son pocas las contribuciones de la literatura en este tema. En ese sentido</w:t>
      </w:r>
      <w:r w:rsidR="00D61883">
        <w:t xml:space="preserve">, el trabajo de </w:t>
      </w:r>
      <w:proofErr w:type="spellStart"/>
      <w:r w:rsidR="00D61883">
        <w:t>Aurazo</w:t>
      </w:r>
      <w:proofErr w:type="spellEnd"/>
      <w:r w:rsidR="00D61883">
        <w:t xml:space="preserve"> y Rojas </w:t>
      </w:r>
      <w:r w:rsidR="00D61883">
        <w:fldChar w:fldCharType="begin"/>
      </w:r>
      <w:r w:rsidR="005104A3">
        <w:instrText xml:space="preserve"> ADDIN ZOTERO_ITEM CSL_CITATION {"citationID":"p4coFNXv","properties":{"formattedCitation":"(2018)","plainCitation":"(2018)","noteIndex":0},"citationItems":[{"id":1066,"uris":["http://zotero.org/groups/2269288/items/GWDSQSPP"],"uri":["http://zotero.org/groups/2269288/items/GWDSQSPP"],"itemData":{"id":1066,"type":"thesis","title":"Modelo de competencia espacial: una aplicación al mercado retail del GNV en el Perú","publisher":"Perú","abstract":"En el presente trabajo se determina el tipo de competencia espacial (Löschian, Hotelling-Smithies y Greenhut-Ohta) bajo el cual operan los gasocentros en Lima Metropolitana y Callao durante el periodo 2011-2015, utilizando el enfoque de variaciones conjeturales planteado por Capozza y Van Order (1978). A partir de ello, se analiza la existencia de comportamientos colusorios o competitivos en dos niveles: en Lima Metropolitana y Callao y en submercados o mercados locales creados dentro de esta región. La base de datos contiene información de 234 gasocentros (4.264 observaciones) y la estimación se realiza utilizando el Método Generalizado de Momentos (GMM). Los resultados muestran que, si bien no es posible determinar el tipo de competencia espacial para todo el mercado de Lima Metropolitana y Callao, sí es posible hacerlo para algunos de sus mercados locales. El análisis realizado sugiere que 2 mercados locales se comportarían a lo Löschian; 1 a lo Hotelling-Smithies y 1 a lo Greenhut-Ohta. Trabajo de investigación","note":"Dissertation/Thesis","author":[{"family":"Aurazo Iglesias","given":"José Gregorio"},{"family":"Rojas Milla","given":"Pedro César"}],"issued":{"date-parts":[["2018"]]}},"suppress-author":true}],"schema":"https://github.com/citation-style-language/schema/raw/master/csl-citation.json"} </w:instrText>
      </w:r>
      <w:r w:rsidR="00D61883">
        <w:fldChar w:fldCharType="separate"/>
      </w:r>
      <w:r w:rsidR="00D61883" w:rsidRPr="00D61883">
        <w:rPr>
          <w:rFonts w:ascii="Times New Roman" w:hAnsi="Times New Roman"/>
        </w:rPr>
        <w:t>(2018)</w:t>
      </w:r>
      <w:r w:rsidR="00D61883">
        <w:fldChar w:fldCharType="end"/>
      </w:r>
      <w:r w:rsidRPr="00662EB4">
        <w:t xml:space="preserve"> es el antecedente más cercano y relevante, al estudiar el tipo de competencia espacial en el mercado de gas natural de </w:t>
      </w:r>
      <w:r w:rsidRPr="00662EB4">
        <w:lastRenderedPageBreak/>
        <w:t>Lima y Callao</w:t>
      </w:r>
      <w:r w:rsidR="001B67D3" w:rsidRPr="00662EB4">
        <w:t xml:space="preserve"> utilizando información sobre precios y cantidades vendidas por distrito</w:t>
      </w:r>
      <w:r w:rsidRPr="00662EB4">
        <w:t>.</w:t>
      </w:r>
      <w:r w:rsidR="001B67D3" w:rsidRPr="00662EB4">
        <w:t xml:space="preserve"> La presente investigación difiere al tratar un mercado mucho más competitivo y establecido, que tiene un producto sin precios fijados por el gobierno y con complicaciones de contar con información de cantidades vendidas.</w:t>
      </w:r>
    </w:p>
    <w:p w14:paraId="106CECF0" w14:textId="66ACF221" w:rsidR="006707EB" w:rsidRDefault="006707EB" w:rsidP="00F57A1B">
      <w:r w:rsidRPr="00662EB4">
        <w:t xml:space="preserve">Bajo </w:t>
      </w:r>
      <w:commentRangeStart w:id="3"/>
      <w:r w:rsidRPr="00662EB4">
        <w:t xml:space="preserve">esta </w:t>
      </w:r>
      <w:commentRangeEnd w:id="3"/>
      <w:r w:rsidR="00170A3D">
        <w:rPr>
          <w:rStyle w:val="Refdecomentario"/>
        </w:rPr>
        <w:commentReference w:id="3"/>
      </w:r>
      <w:r w:rsidRPr="00662EB4">
        <w:t>coyuntura, la presente</w:t>
      </w:r>
      <w:r w:rsidR="002215C9">
        <w:t xml:space="preserve"> investigación busca identificar las principales variables asociadas con las diferencias de precios registradas en las estaciones y la variación de precios entre mercados considerando el rol de la ubicación geográfica de las estaciones en el análisis. Como segundo objetivo, el trabajo analiza el impacto de una adquisición de YY% de estaciones operativas en Lima Metropolitana y su efecto en los precios en los mercados afectados. La información de precios de combustibles se obtiene de la base de datos de Facilito provista por OSINERGMIN para los años 2017 y 2018. Por otra parte, la información de las características de las estaciones fue recolectada manualmente.</w:t>
      </w:r>
    </w:p>
    <w:p w14:paraId="5A961EBA" w14:textId="0C2316C9" w:rsidR="006707EB" w:rsidRDefault="00173517" w:rsidP="00F57A1B">
      <w:r>
        <w:t>E</w:t>
      </w:r>
      <w:r w:rsidR="006707EB" w:rsidRPr="00662EB4">
        <w:t>l presente trabajo se organiza de la siguiente manera. El capítulo II contiene el marco teórico que describe el estado actual de la literatura en lo concerniente a competencia espacial y con respecto a mercados de combustible</w:t>
      </w:r>
      <w:r w:rsidR="006707EB">
        <w:t xml:space="preserve">s líquidos. El capítulo III presenta las particularidades del mercado de combustibles en Lima Metropolitana. </w:t>
      </w:r>
      <w:r>
        <w:t>El capítulo IV abarca los datos utilizados, las variables, la definición de los mercados locales y la metodología econométrica. El capítulo V muestra y discute los resultados encontrados. Finalmente, se presentan las conclusiones y recomendaciones de la investigación.</w:t>
      </w:r>
    </w:p>
    <w:p w14:paraId="4C25A1A8" w14:textId="77777777" w:rsidR="00513B65" w:rsidRDefault="00513B65" w:rsidP="00F57A1B"/>
    <w:p w14:paraId="5976AE01" w14:textId="77777777" w:rsidR="00067D45" w:rsidRDefault="00067D45" w:rsidP="00F57A1B">
      <w:r>
        <w:br w:type="page"/>
      </w:r>
    </w:p>
    <w:p w14:paraId="5AB78CEF" w14:textId="336034D9" w:rsidR="00A91D92" w:rsidRDefault="001D7AC0" w:rsidP="000D15A3">
      <w:pPr>
        <w:pStyle w:val="Ttulo1"/>
      </w:pPr>
      <w:bookmarkStart w:id="4" w:name="_Ref5724450"/>
      <w:commentRangeStart w:id="5"/>
      <w:r w:rsidRPr="002C12C7">
        <w:lastRenderedPageBreak/>
        <w:t>Marco</w:t>
      </w:r>
      <w:r>
        <w:t xml:space="preserve"> Teórico</w:t>
      </w:r>
      <w:commentRangeEnd w:id="5"/>
      <w:r w:rsidR="00FA2CF8">
        <w:rPr>
          <w:rStyle w:val="Refdecomentario"/>
          <w:b w:val="0"/>
        </w:rPr>
        <w:commentReference w:id="5"/>
      </w:r>
      <w:bookmarkEnd w:id="4"/>
    </w:p>
    <w:p w14:paraId="535D3837" w14:textId="4FE52810" w:rsidR="00FE424F" w:rsidRPr="002C12C7" w:rsidRDefault="00FE424F" w:rsidP="002C12C7">
      <w:pPr>
        <w:pStyle w:val="Ttulo2"/>
      </w:pPr>
      <w:r w:rsidRPr="002C12C7">
        <w:t>Generalidades sobre el mercado de combustibles líquidos</w:t>
      </w:r>
    </w:p>
    <w:p w14:paraId="66F55489" w14:textId="25639533" w:rsidR="008D701F" w:rsidRDefault="008D701F" w:rsidP="00F57A1B">
      <w:r>
        <w:t>En este trabajo nos centramos en la etapa final de la cadena de valor de los hidrocarburos, sin embargo</w:t>
      </w:r>
      <w:r w:rsidR="00175C54">
        <w:t>, es importante conocer brevemente los otros componentes de la cadena para entender cómo se estructura el negocio y qué ventajas tiene la integración de distintas etapas.</w:t>
      </w:r>
    </w:p>
    <w:p w14:paraId="56A4211C" w14:textId="77777777" w:rsidR="000271B0" w:rsidRDefault="00FE424F" w:rsidP="00F57A1B">
      <w:r>
        <w:t xml:space="preserve">Los combustibles líquidos se producen en complejos industriales a partir del crudo de petróleo. </w:t>
      </w:r>
      <w:r w:rsidR="008D701F">
        <w:t xml:space="preserve">Debido a ser un </w:t>
      </w:r>
      <w:proofErr w:type="spellStart"/>
      <w:r w:rsidR="008D701F">
        <w:rPr>
          <w:i/>
        </w:rPr>
        <w:t>commodity</w:t>
      </w:r>
      <w:proofErr w:type="spellEnd"/>
      <w:r w:rsidR="008D701F">
        <w:rPr>
          <w:i/>
        </w:rPr>
        <w:t xml:space="preserve">, </w:t>
      </w:r>
      <w:r w:rsidR="008D701F">
        <w:t xml:space="preserve">el precio referencial del crudo se establece en mercado muy líquidos con determinados marcadores de precios (como el WTI o Brent) y con primas o castigos asociados a la calidad del crudo, su rendimiento de productos líquidos y su facilidad de procesamiento. </w:t>
      </w:r>
      <w:r w:rsidR="00175C54">
        <w:t>Los combustibles son vendidos por las refinerías a mayoristas. Las refinerías muchas vecen cuentan con un brazo comercial que les permite integrar estas funciones y generar mayores ingresos en la operación global.</w:t>
      </w:r>
      <w:r w:rsidR="00D513A2">
        <w:t xml:space="preserve"> </w:t>
      </w:r>
      <w:r w:rsidR="00374199">
        <w:t xml:space="preserve">Los mayoristas se dedican a la venta del combustible a las estaciones y su transporte desde las plantas de almacenamiento. </w:t>
      </w:r>
    </w:p>
    <w:p w14:paraId="52DBBB05" w14:textId="43B52888" w:rsidR="00175C54" w:rsidRDefault="00374199" w:rsidP="00F57A1B">
      <w:r>
        <w:t xml:space="preserve">Las estaciones se pueden dividir en tres grandes tipos: estaciones propias, abanderadas y estaciones independientes. Las estaciones propias </w:t>
      </w:r>
      <w:r w:rsidR="000271B0">
        <w:t>son aquellas que pertenecen a un mayorista por lo que están integradas y las decisiones de precios se toman a nivel centralizado</w:t>
      </w:r>
      <w:r>
        <w:t xml:space="preserve">. Por otra parte, </w:t>
      </w:r>
      <w:r w:rsidR="000271B0">
        <w:t>las estaciones abanderadas pertenecen a terceros que firman</w:t>
      </w:r>
      <w:r>
        <w:t xml:space="preserve"> contratos de franquicia mediante los </w:t>
      </w:r>
      <w:r w:rsidR="000271B0">
        <w:t>cuales</w:t>
      </w:r>
      <w:r>
        <w:t xml:space="preserve"> el mayorista se encarga de proveer el combustible </w:t>
      </w:r>
      <w:r w:rsidR="000271B0">
        <w:t>“de marca”</w:t>
      </w:r>
      <w:r w:rsidR="000271B0">
        <w:rPr>
          <w:rStyle w:val="Refdenotaalpie"/>
        </w:rPr>
        <w:footnoteReference w:id="1"/>
      </w:r>
      <w:r w:rsidR="000271B0">
        <w:t xml:space="preserve"> </w:t>
      </w:r>
      <w:r>
        <w:t xml:space="preserve">a un precio diferenciado, proveer asistencia técnica y </w:t>
      </w:r>
      <w:r w:rsidR="000271B0">
        <w:t>a cambio la estación</w:t>
      </w:r>
      <w:r>
        <w:t xml:space="preserve"> solo vende combustible adquirido a través del mayorista además de mostrar los colores y nombre de la marca. Finalmente, se encuentran las estaciones independientes </w:t>
      </w:r>
      <w:r w:rsidR="000271B0">
        <w:t>que no tienen ninguna marca asociada y son libres de comprar el combustible a cualquiera de los mayoristas en el mercado.</w:t>
      </w:r>
    </w:p>
    <w:p w14:paraId="068DEBCA" w14:textId="0F827D43" w:rsidR="00A91D92" w:rsidRDefault="00FA2CF8" w:rsidP="002C12C7">
      <w:pPr>
        <w:pStyle w:val="Ttulo2"/>
      </w:pPr>
      <w:bookmarkStart w:id="6" w:name="_Ref5566273"/>
      <w:r w:rsidRPr="00FA2CF8">
        <w:lastRenderedPageBreak/>
        <w:t xml:space="preserve">Revisión de la </w:t>
      </w:r>
      <w:r w:rsidRPr="002C12C7">
        <w:t>literatura</w:t>
      </w:r>
      <w:bookmarkEnd w:id="6"/>
    </w:p>
    <w:p w14:paraId="05C3DCF3" w14:textId="1DDFEAE2" w:rsidR="00FA2CF8" w:rsidRPr="00FA2CF8" w:rsidRDefault="00FA2CF8" w:rsidP="00F57A1B">
      <w:r w:rsidRPr="00FA2CF8">
        <w:t xml:space="preserve">Una parte de la literatura se ha enfocado en determinar a nivel descriptivo las influencias de ciertas características observables de las estaciones de servicio sobre los precios y buscan explicar las diferencias de precios observadas en distintas estaciones. En este grupo de trabajos encontramos a </w:t>
      </w:r>
      <w:proofErr w:type="spellStart"/>
      <w:r w:rsidR="00D466ED">
        <w:t>Clemenz</w:t>
      </w:r>
      <w:proofErr w:type="spellEnd"/>
      <w:r w:rsidR="00D466ED">
        <w:t xml:space="preserve"> y </w:t>
      </w:r>
      <w:proofErr w:type="spellStart"/>
      <w:r w:rsidR="00D466ED">
        <w:t>Gugler</w:t>
      </w:r>
      <w:proofErr w:type="spellEnd"/>
      <w:r w:rsidR="00D466ED">
        <w:t xml:space="preserve"> </w:t>
      </w:r>
      <w:r w:rsidRPr="00FA2CF8">
        <w:fldChar w:fldCharType="begin"/>
      </w:r>
      <w:r w:rsidR="00D466ED">
        <w:instrText xml:space="preserve"> ADDIN ZOTERO_ITEM CSL_CITATION {"citationID":"pq9SD2pJ","properties":{"formattedCitation":"(2006)","plainCitation":"(2006)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1435-8921","shortTitle":"Locational choice and price competition","language":"en","author":[{"family":"Clemenz","given":"Gerhard"},{"family":"Gugler","given":"Klaus"}],"issued":{"date-parts":[["2006",6]]},"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(2006)</w:t>
      </w:r>
      <w:r w:rsidRPr="00FA2CF8">
        <w:fldChar w:fldCharType="end"/>
      </w:r>
      <w:r w:rsidRPr="00FA2CF8">
        <w:t xml:space="preserve">, </w:t>
      </w:r>
      <w:r w:rsidR="00D466ED">
        <w:rPr>
          <w:rFonts w:ascii="Times New Roman" w:hAnsi="Times New Roman"/>
          <w:szCs w:val="24"/>
        </w:rPr>
        <w:t>Pintado y</w:t>
      </w:r>
      <w:r w:rsidR="00D466ED" w:rsidRPr="00FA2CF8">
        <w:rPr>
          <w:rFonts w:ascii="Times New Roman" w:hAnsi="Times New Roman"/>
          <w:szCs w:val="24"/>
        </w:rPr>
        <w:t xml:space="preserve"> </w:t>
      </w:r>
      <w:proofErr w:type="spellStart"/>
      <w:r w:rsidR="00D466ED" w:rsidRPr="00FA2CF8">
        <w:rPr>
          <w:rFonts w:ascii="Times New Roman" w:hAnsi="Times New Roman"/>
          <w:szCs w:val="24"/>
        </w:rPr>
        <w:t>Contín-Pilart</w:t>
      </w:r>
      <w:proofErr w:type="spellEnd"/>
      <w:r w:rsidR="00D466ED" w:rsidRPr="00FA2CF8">
        <w:t xml:space="preserve"> </w:t>
      </w:r>
      <w:r w:rsidRPr="00FA2CF8">
        <w:fldChar w:fldCharType="begin"/>
      </w:r>
      <w:r w:rsidR="00D466ED">
        <w:instrText xml:space="preserve"> ADDIN ZOTERO_ITEM CSL_CITATION {"citationID":"bVWHdilW","properties":{"formattedCitation":"(2010)","plainCitation":"(2010)","noteIndex":0},"citationItems":[{"id":1051,"uris":["http://zotero.org/groups/2269288/items/JY6FSIJ9"],"uri":["http://zotero.org/groups/2269288/items/JY6FSIJ9"],"itemData":{"id":1051,"type":"article-journal","title":"Influencia de los factores de localización en la fijación de los precios de los carburantes de automoción en España","container-title":"Cuadernos económicos de ICE","issue":"79","source":"Google Scholar","author":[{"family":"Pintado","given":"Alejandro Bello"},{"family":"Contín-Pilart","given":"Ignacio"}],"issued":{"date-parts":[["2010"]]}},"suppress-author":true}],"schema":"https://github.com/citation-style-language/schema/raw/master/csl-citation.json"} </w:instrText>
      </w:r>
      <w:r w:rsidRPr="00FA2CF8">
        <w:fldChar w:fldCharType="separate"/>
      </w:r>
      <w:r w:rsidR="00D466ED" w:rsidRPr="00D466ED">
        <w:rPr>
          <w:rFonts w:ascii="Times New Roman" w:hAnsi="Times New Roman"/>
        </w:rPr>
        <w:t>(2010)</w:t>
      </w:r>
      <w:r w:rsidRPr="00FA2CF8">
        <w:fldChar w:fldCharType="end"/>
      </w:r>
      <w:r w:rsidRPr="00FA2CF8">
        <w:t xml:space="preserve"> y </w:t>
      </w:r>
      <w:r w:rsidR="00D466ED">
        <w:t xml:space="preserve">Eckert y West </w:t>
      </w:r>
      <w:r w:rsidRPr="00FA2CF8">
        <w:fldChar w:fldCharType="begin"/>
      </w:r>
      <w:r w:rsidR="00D466ED">
        <w:instrText xml:space="preserve"> ADDIN ZOTERO_ITEM CSL_CITATION {"citationID":"D0rhQ8Id","properties":{"formattedCitation":"(2005)","plainCitation":"(2005)","noteIndex":0},"citationItems":[{"id":848,"uris":["http://zotero.org/groups/2269288/items/XUUZ72Y2"],"uri":["http://zotero.org/groups/2269288/items/XUUZ72Y2"],"itemData":{"id":848,"type":"article-journal","title":"Price uniformity and competition in a retail gasoline market","container-title":"Journal of Economic Behavior &amp; Organization","page":"219-237","volume":"56","issue":"2","source":"ScienceDirect","abstract":"The purpose of this paper is to examine the price uniformity prediction of the competitive market model of retail gasoline pricing using station specific data on gasoline prices from Vancouver, BC. The specified econometric model also generates results that describe the actual pricing pattern in the market and that permit an assessment of tacit collusion and imperfectly competitive non-collusive competition as possible alternative explanations for the results. Contrary to the competitive model, variables measuring brand effects, spatial and product characteristics, local market structure, and time series variation do affect the probability that a station matches the market mode price.","URL":"http://www.sciencedirect.com/science/article/pii/S0167268104000526","DOI":"10.1016/j.jebo.2003.09.006","ISSN":"0167-2681","journalAbbreviation":"Journal of Economic Behavior &amp; Organization","author":[{"family":"Eckert","given":"Andrew"},{"family":"West","given":"Douglas S."}],"issued":{"date-parts":[["2005",2,1]]},"accessed":{"date-parts":[["2019",2,3]]}},"suppress-author":true}],"schema":"https://github.com/citation-style-language/schema/raw/master/csl-citation.json"} </w:instrText>
      </w:r>
      <w:r w:rsidRPr="00FA2CF8">
        <w:fldChar w:fldCharType="separate"/>
      </w:r>
      <w:r w:rsidR="00D466ED" w:rsidRPr="00D466ED">
        <w:rPr>
          <w:rFonts w:ascii="Times New Roman" w:hAnsi="Times New Roman"/>
        </w:rPr>
        <w:t>(2005)</w:t>
      </w:r>
      <w:r w:rsidRPr="00FA2CF8">
        <w:fldChar w:fldCharType="end"/>
      </w:r>
      <w:r w:rsidR="00D466ED">
        <w:t>. Estos trabaj</w:t>
      </w:r>
      <w:r w:rsidRPr="00FA2CF8">
        <w:t xml:space="preserve">os intentan controlar por patrones espaciales incluyendo alguna variable que relacione la cantidad de estaciones a un radio fijo de la estación evaluada, así como la distancia a la estación más próxima. </w:t>
      </w:r>
      <w:r w:rsidR="00D466ED">
        <w:t xml:space="preserve">Eckert </w:t>
      </w:r>
      <w:r w:rsidR="00D466ED" w:rsidRPr="00FA2CF8">
        <w:t>propone modelos reducidos de colusión tácita y competencia imperfecta no colusiva que explican los patrones de precios observados en V</w:t>
      </w:r>
      <w:r w:rsidR="00D466ED">
        <w:t>ancouver, Canadá. Por otra parte, Pintado utiliza data de España de precios para determinar….</w:t>
      </w:r>
    </w:p>
    <w:p w14:paraId="64852463" w14:textId="1D5E1413" w:rsidR="00FA2CF8" w:rsidRPr="00FA2CF8" w:rsidRDefault="00FA2CF8" w:rsidP="00F57A1B">
      <w:r w:rsidRPr="00FA2CF8">
        <w:t xml:space="preserve">Otro grupo de trabajos considera las interacciones espaciales entre las estaciones ya que los patrones de precios pueden estar parcialmente justificados por la ubicación con respecto a otras estaciones en el mercado. Algunos trabajos de esta vertiente de la literatura son </w:t>
      </w:r>
      <w:r w:rsidRPr="00FA2CF8">
        <w:fldChar w:fldCharType="begin"/>
      </w:r>
      <w:r w:rsidR="0004424C">
        <w:instrText xml:space="preserve"> ADDIN ZOTERO_ITEM CSL_CITATION {"citationID":"8isNZ9Vu","properties":{"formattedCitation":"(2010)","plainCitation":"(2010)","dontUpdate":true,"noteIndex":0},"citationItems":[{"id":1020,"uris":["http://zotero.org/groups/2269288/items/87HPQP9K"],"uri":["http://zotero.org/groups/2269288/items/87HPQP9K"],"itemData":{"id":1020,"type":"article-journal","title":"Geographic Competition in the Retail Gasoline Market: Who are a gas station’s competitors?","page":"23","issue":"2","source":"Zotero","language":"en","author":[{"family":"Byrne","given":"Paul F"}],"issued":{"date-parts":[["2010"]]}},"suppress-author":true}],"schema":"https://github.com/citation-style-language/schema/raw/master/csl-citation.json"} </w:instrText>
      </w:r>
      <w:r w:rsidRPr="00FA2CF8">
        <w:fldChar w:fldCharType="separate"/>
      </w:r>
      <w:r w:rsidRPr="00FA2CF8">
        <w:t xml:space="preserve">Byrne </w:t>
      </w:r>
      <w:r w:rsidRPr="00FA2CF8">
        <w:rPr>
          <w:rFonts w:ascii="Times New Roman" w:hAnsi="Times New Roman"/>
        </w:rPr>
        <w:t>(2010)</w:t>
      </w:r>
      <w:r w:rsidRPr="00FA2CF8">
        <w:fldChar w:fldCharType="end"/>
      </w:r>
      <w:r w:rsidRPr="00FA2CF8">
        <w:t>,</w:t>
      </w:r>
      <w:r w:rsidRPr="00FA2CF8">
        <w:rPr>
          <w:rFonts w:ascii="Times New Roman" w:hAnsi="Times New Roman"/>
        </w:rPr>
        <w:t xml:space="preserve"> </w:t>
      </w:r>
      <w:proofErr w:type="spellStart"/>
      <w:r w:rsidRPr="00FA2CF8">
        <w:rPr>
          <w:rFonts w:ascii="Times New Roman" w:hAnsi="Times New Roman"/>
        </w:rPr>
        <w:t>Pennerstorfer</w:t>
      </w:r>
      <w:proofErr w:type="spellEnd"/>
      <w:r w:rsidRPr="00FA2CF8">
        <w:t xml:space="preserve"> </w:t>
      </w:r>
      <w:r w:rsidRPr="00FA2CF8">
        <w:fldChar w:fldCharType="begin"/>
      </w:r>
      <w:r w:rsidRPr="00FA2CF8">
        <w:instrText xml:space="preserve"> ADDIN ZOTERO_ITEM CSL_CITATION {"citationID":"aGvp8FHh","properties":{"formattedCitation":"(2009)","plainCitation":"(2009)","noteIndex":0},"citationI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inﬂuence of unbranded stations on the prices charged by branded stations in the retail gasoline sector, using data on 400 stations in Lower Austria. As the market is characterized by spatial competition, a spatial lag model is used to avoid misspeciﬁcation.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inﬂuence on the prices charged by branded stations.","URL":"http://link.springer.com/10.1007/s00168-007-0206-7","DOI":"10.1007/s00168-007-0206-7","ISSN":"0570-1864, 1432-0592","shortTitle":"Spatial price competition in retail gasoline markets","language":"en","author":[{"family":"Pennerstorfer","given":"Dieter"}],"issued":{"date-parts":[["2009",3]]},"accessed":{"date-parts":[["2018",12,22]]}},"suppress-author":true}],"schema":"https://github.com/citation-style-language/schema/raw/master/csl-citation.json"} </w:instrText>
      </w:r>
      <w:r w:rsidRPr="00FA2CF8">
        <w:fldChar w:fldCharType="separate"/>
      </w:r>
      <w:r w:rsidRPr="00FA2CF8">
        <w:rPr>
          <w:rFonts w:ascii="Times New Roman" w:hAnsi="Times New Roman"/>
        </w:rPr>
        <w:t>(2009)</w:t>
      </w:r>
      <w:r w:rsidRPr="00FA2CF8">
        <w:fldChar w:fldCharType="end"/>
      </w:r>
      <w:r w:rsidRPr="00FA2CF8">
        <w:t xml:space="preserve"> y </w:t>
      </w:r>
      <w:proofErr w:type="spellStart"/>
      <w:r w:rsidRPr="00FA2CF8">
        <w:rPr>
          <w:rFonts w:ascii="Times New Roman" w:hAnsi="Times New Roman"/>
        </w:rPr>
        <w:t>Alderighi</w:t>
      </w:r>
      <w:proofErr w:type="spellEnd"/>
      <w:r w:rsidRPr="00FA2CF8">
        <w:rPr>
          <w:rFonts w:ascii="Times New Roman" w:hAnsi="Times New Roman"/>
        </w:rPr>
        <w:t xml:space="preserve"> y Baudino</w:t>
      </w:r>
      <w:r w:rsidRPr="00FA2CF8">
        <w:t xml:space="preserve"> </w:t>
      </w:r>
      <w:r w:rsidRPr="00FA2CF8">
        <w:fldChar w:fldCharType="begin"/>
      </w:r>
      <w:r w:rsidRPr="00FA2CF8">
        <w:instrText xml:space="preserve"> ADDIN ZOTERO_ITEM CSL_CITATION {"citationID":"VhJ1AYSo","properties":{"formattedCitation":"(2015)","plainCitation":"(2015)","noteIndex":0},"citationItems":[{"id":867,"uris":["http://zotero.org/groups/2269288/items/WWBYFZP7"],"uri":["http://zotero.org/groups/2269288/items/WWBYFZP7"],"itemData":{"id":867,"type":"article-journal","title":"The pricing behavior of Italian gas stations: Some evidence from the Cuneo retail fuel market","container-title":"Energy Economics","page":"33-46","volume":"50","source":"Crossref","abstract":"This paper studies how gas stations adjust their gasoline and diesel prices in response to their neighboring competitors. The empirical analysis relies on data collected from January to August 2011 on the daily prices of 20 gas stations located in Cuneo, Italy. These data show signiﬁcant price uniformity, especially within the same geographical area of the town. Approximately one-third of gas stations responded within a day to targeted competitors' price changes, indicating some evidence of price matching behavior in the industry. Additionally, there is some, but discontinuous, geographical price propagation, testifying to the presence of a weak domino effect. Finally, spatial econometric analysis suggests that there is spatial dependence between gas stations up to about 1.1 km.","URL":"https://linkinghub.elsevier.com/retrieve/pii/S0140988315001401","DOI":"10.1016/j.eneco.2015.04.017","ISSN":"01409883","shortTitle":"The pricing behavior of Italian gas stations","language":"en","author":[{"family":"Alderighi","given":"Marco"},{"family":"Baudino","given":"Marco"}],"issued":{"date-parts":[["2015",7]]},"accessed":{"date-parts":[["2019",2,3]]}},"suppress-author":true}],"schema":"https://github.com/citation-style-language/schema/raw/master/csl-citation.json"} </w:instrText>
      </w:r>
      <w:r w:rsidRPr="00FA2CF8">
        <w:fldChar w:fldCharType="separate"/>
      </w:r>
      <w:r w:rsidRPr="00FA2CF8">
        <w:rPr>
          <w:rFonts w:ascii="Times New Roman" w:hAnsi="Times New Roman"/>
        </w:rPr>
        <w:t>(2015)</w:t>
      </w:r>
      <w:r w:rsidRPr="00FA2CF8">
        <w:fldChar w:fldCharType="end"/>
      </w:r>
      <w:r w:rsidRPr="00FA2CF8">
        <w:t xml:space="preserve">. En estas investigaciones, se utilizan modelos de rezago espacial y modelos de errores espaciales </w:t>
      </w:r>
      <w:r w:rsidRPr="00FA2CF8">
        <w:fldChar w:fldCharType="begin"/>
      </w:r>
      <w:r w:rsidR="00D466ED">
        <w:instrText xml:space="preserve"> ADDIN ZOTERO_ITEM CSL_CITATION {"citationID":"vxoJIBbK","properties":{"formattedCitation":"(descritos por Anselin, 2013)","plainCitation":"(descritos por Anselin, 2013)","noteIndex":0},"citationItems":[{"id":1058,"uris":["http://zotero.org/groups/2269288/items/NCYDHCZ9"],"uri":["http://zotero.org/groups/2269288/items/NCYDHCZ9"],"itemData":{"id":1058,"type":"book","title":"Spatial econometrics: methods and models","publisher":"Springer Science &amp; Business Media","volume":"4","source":"Google Scholar","shortTitle":"Spatial econometrics","author":[{"family":"Anselin","given":"Luc"}],"issued":{"date-parts":[["2013"]]}},"suppress-author":true,"prefix":"descritos por Anselin, "}],"schema":"https://github.com/citation-style-language/schema/raw/master/csl-citation.json"} </w:instrText>
      </w:r>
      <w:r w:rsidRPr="00FA2CF8">
        <w:fldChar w:fldCharType="separate"/>
      </w:r>
      <w:r w:rsidR="00D466ED" w:rsidRPr="00D466ED">
        <w:rPr>
          <w:rFonts w:ascii="Times New Roman" w:hAnsi="Times New Roman"/>
        </w:rPr>
        <w:t>(descritos por Anselin, 2013)</w:t>
      </w:r>
      <w:r w:rsidRPr="00FA2CF8">
        <w:fldChar w:fldCharType="end"/>
      </w:r>
      <w:r w:rsidRPr="00FA2CF8">
        <w:t xml:space="preserve"> que tienen en cuenta la endogeneidad existente cuando los precios se determinan de manera conjunta en mercados con dependencia </w:t>
      </w:r>
      <w:proofErr w:type="spellStart"/>
      <w:r w:rsidRPr="00FA2CF8">
        <w:t>interespacial</w:t>
      </w:r>
      <w:proofErr w:type="spellEnd"/>
      <w:r w:rsidRPr="00FA2CF8">
        <w:t>.</w:t>
      </w:r>
      <w:r w:rsidR="00D466ED">
        <w:t xml:space="preserve"> </w:t>
      </w:r>
      <w:proofErr w:type="spellStart"/>
      <w:r w:rsidR="00D466ED">
        <w:t>Pennerstorfer</w:t>
      </w:r>
      <w:proofErr w:type="spellEnd"/>
      <w:r w:rsidR="00D466ED">
        <w:t xml:space="preserve"> halla …</w:t>
      </w:r>
    </w:p>
    <w:p w14:paraId="23CEEC6A" w14:textId="4B413193" w:rsidR="00FA2CF8" w:rsidRPr="00FA2CF8" w:rsidRDefault="00FA2CF8" w:rsidP="00F57A1B">
      <w:r w:rsidRPr="00FA2CF8">
        <w:t>Finalmente, algunos autores han utilizado eventos exógenos para evaluar los efectos de fusi</w:t>
      </w:r>
      <w:r w:rsidRPr="00FA2CF8">
        <w:fldChar w:fldCharType="begin"/>
      </w:r>
      <w:r w:rsidR="0004424C">
        <w:instrText xml:space="preserve"> ADDIN ZOTERO_ITEM CSL_CITATION {"citationID":"sZM9nOJj","properties":{"formattedCitation":"(2008)","plainCitation":"(2008)","dontUpdate":true,"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consumers.","URL":"https://www.journals.uchicago.edu/doi/abs/10.1086/520004","DOI":"10.1086/520004","ISSN":"0022-2186","shortTitle":"Do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end"/>
      </w:r>
      <w:r w:rsidRPr="00FA2CF8">
        <w:t xml:space="preserve">ones o adquisiciones específicas en los precios de venta de combustible, entre ellos tenemos a Taylor y </w:t>
      </w:r>
      <w:proofErr w:type="spellStart"/>
      <w:r w:rsidRPr="00FA2CF8">
        <w:t>Hosken</w:t>
      </w:r>
      <w:proofErr w:type="spellEnd"/>
      <w:r w:rsidRPr="00FA2CF8">
        <w:t xml:space="preserve"> </w:t>
      </w:r>
      <w:r w:rsidRPr="00FA2CF8">
        <w:fldChar w:fldCharType="begin"/>
      </w:r>
      <w:r w:rsidRPr="00FA2CF8">
        <w:instrText xml:space="preserve"> ADDIN ZOTERO_ITEM CSL_CITATION {"citationID":"5guu052O","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consumers.","URL":"https://www.journals.uchicago.edu/doi/abs/10.1086/520004","DOI":"10.1086/520004","ISSN":"0022-2186","shortTitle":"Do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Simpson y Taylor </w:t>
      </w:r>
      <w:r w:rsidRPr="00FA2CF8">
        <w:fldChar w:fldCharType="begin"/>
      </w:r>
      <w:r w:rsidRPr="00FA2CF8">
        <w:instrText xml:space="preserve"> ADDIN ZOTERO_ITEM CSL_CITATION {"citationID":"2LsDHdDa","properties":{"formattedCitation":"(2008)","plainCitation":"(2008)","noteIndex":0},"citationItems":[{"id":1060,"uris":["http://zotero.org/groups/2269288/items/RAQA2ZFQ"],"uri":["http://zotero.org/groups/2269288/items/RAQA2ZFQ"],"itemData":{"id":1060,"type":"article-journal","title":"Do Gasoline Mergers Affect Consumer Prices? The Marathon Ashland Petroleum and Ultramar Diamond Shamrock Transaction","container-title":"The Journal of Law and Economics","page":"135-152","volume":"51","issue":"1","source":"journals.uchicago.edu (Atypon)","abstract":"In 1999, Marathon Ashland Petroleum (MAP) acquired the Michigan assets of Ultramar Diamond Shamrock (UDS), which increased MAP’s share of terminal storage in Michigan from about 16 percent to about 25 percent and increased the share of gasoline stations bearing a MAP brand from about 16 percent to about 24 percent. In this paper, we examine whether this acquisition affected the retail price of gasoline. We use a difference‐in‐differences model to compare price movements in six Michigan cities affected by the acquisition with price movements in two nearby cities unaffected by the acquisition. Using this model, we find no evidence that this acquisition led to higher prices for consumers.","URL":"https://www.journals.uchicago.edu/doi/abs/10.1086/520004","DOI":"10.1086/520004","ISSN":"0022-2186","shortTitle":"Do Gasoline Mergers Affect Consumer Prices?","journalAbbreviation":"The Journal of Law and Economics","author":[{"family":"Simpson","given":"John"},{"family":"Taylor","given":"Christopher"}],"issued":{"date-parts":[["2008",2,1]]},"accessed":{"date-parts":[["2019",4,7]]}},"suppress-author":true}],"schema":"https://github.com/citation-style-language/schema/raw/master/csl-citation.json"} </w:instrText>
      </w:r>
      <w:r w:rsidRPr="00FA2CF8">
        <w:fldChar w:fldCharType="separate"/>
      </w:r>
      <w:r w:rsidRPr="00FA2CF8">
        <w:rPr>
          <w:rFonts w:ascii="Times New Roman" w:hAnsi="Times New Roman"/>
        </w:rPr>
        <w:t>(2008)</w:t>
      </w:r>
      <w:r w:rsidRPr="00FA2CF8">
        <w:fldChar w:fldCharType="end"/>
      </w:r>
      <w:r w:rsidRPr="00FA2CF8">
        <w:t xml:space="preserve">, </w:t>
      </w:r>
      <w:proofErr w:type="spellStart"/>
      <w:r w:rsidRPr="00FA2CF8">
        <w:t>Pennerstorfer</w:t>
      </w:r>
      <w:proofErr w:type="spellEnd"/>
      <w:r w:rsidRPr="00FA2CF8">
        <w:t xml:space="preserve"> y </w:t>
      </w:r>
      <w:proofErr w:type="spellStart"/>
      <w:r w:rsidRPr="00FA2CF8">
        <w:t>Weiss</w:t>
      </w:r>
      <w:proofErr w:type="spellEnd"/>
      <w:r w:rsidRPr="00FA2CF8">
        <w:t xml:space="preserve"> </w:t>
      </w:r>
      <w:r w:rsidRPr="00FA2CF8">
        <w:fldChar w:fldCharType="begin"/>
      </w:r>
      <w:r w:rsidRPr="00FA2CF8">
        <w:instrText xml:space="preserve"> ADDIN ZOTERO_ITEM CSL_CITATION {"citationID":"svXtA5YN","properties":{"formattedCitation":"(2013)","plainCitation":"(2013)","noteIndex":0},"citationItems":[{"id":1011,"uris":["http://zotero.org/groups/2269288/items/2IBPVQGE"],"uri":["http://zotero.org/groups/2269288/items/2IBPVQGE"],"itemData":{"id":1011,"type":"article-journal","title":"Spatial clustering and market power: Evidence from the retail gasoline market","container-title":"Regional Science and Urban Economics","page":"661-675","volume":"43","issue":"4","source":"ScienceDirect","abstract":"We investigate the impact of local market power and ‘spatial clustering’ on prices in the retail gasoline market. The acquisition of Aral stations from BP in the Austrian gasoline market in 2003 provides a ‘quasi-experiment’ for identification of the causal effects of changes in spatial clustering on retail prices for a panel of gasoline stations. Our econometric analysis suggests that spatial clustering of gasoline stations reduces the degree of competition between firms and increases equilibrium prices. Merger simulations show that ignoring merger-induced changes in spatial characteristics will lead to a significant bias in the evaluation of merger effects.","URL":"http://www.sciencedirect.com/science/article/pii/S0166046213000409","DOI":"10.1016/j.regsciurbeco.2013.04.002","ISSN":"0166-0462","shortTitle":"Spatial clustering and market power","journalAbbreviation":"Regional Science and Urban Economics","author":[{"family":"Pennerstorfer","given":"Dieter"},{"family":"Weiss","given":"Christoph"}],"issued":{"date-parts":[["2013",7,1]]},"accessed":{"date-parts":[["2019",3,2]]}},"suppress-author":true}],"schema":"https://github.com/citation-style-language/schema/raw/master/csl-citation.json"} </w:instrText>
      </w:r>
      <w:r w:rsidRPr="00FA2CF8">
        <w:fldChar w:fldCharType="separate"/>
      </w:r>
      <w:r w:rsidRPr="00FA2CF8">
        <w:rPr>
          <w:rFonts w:ascii="Times New Roman" w:hAnsi="Times New Roman"/>
        </w:rPr>
        <w:t>(2013)</w:t>
      </w:r>
      <w:r w:rsidRPr="00FA2CF8">
        <w:fldChar w:fldCharType="end"/>
      </w:r>
      <w:r w:rsidRPr="00FA2CF8">
        <w:t xml:space="preserve"> y Hastings </w:t>
      </w:r>
      <w:r w:rsidRPr="00FA2CF8">
        <w:fldChar w:fldCharType="begin"/>
      </w:r>
      <w:r w:rsidRPr="00FA2CF8">
        <w:instrText xml:space="preserve"> ADDIN ZOTERO_ITEM CSL_CITATION {"citationID":"qXetEibG","properties":{"formattedCitation":"(2004)","plainCitation":"(2004)","noteIndex":0},"citationItems":[{"id":1014,"uris":["http://zotero.org/groups/2269288/items/R4UZQ3CV"],"uri":["http://zotero.org/groups/2269288/items/R4UZQ3CV"],"itemData":{"id":1014,"type":"article-journal","title":"Vertical Relationships and Competition in Retail Gasoline Markets: Empirical Evidence from Contract Changes in Southern California","container-title":"The American Economic Review","page":"317-328","volume":"94","issue":"1","source":"JSTOR","URL":"https://www.jstor.org/stable/3592781","ISSN":"0002-8282","shortTitle":"Vertical Relationships and Competition in Retail Gasoline Markets","author":[{"family":"Hastings","given":"Justine S."}],"issued":{"date-parts":[["2004"]]},"accessed":{"date-parts":[["2019",3,3]]}},"suppress-author":true}],"schema":"https://github.com/citation-style-language/schema/raw/master/csl-citation.json"} </w:instrText>
      </w:r>
      <w:r w:rsidRPr="00FA2CF8">
        <w:fldChar w:fldCharType="separate"/>
      </w:r>
      <w:r w:rsidRPr="00FA2CF8">
        <w:rPr>
          <w:rFonts w:ascii="Times New Roman" w:hAnsi="Times New Roman"/>
        </w:rPr>
        <w:t>(2004)</w:t>
      </w:r>
      <w:r w:rsidRPr="00FA2CF8">
        <w:fldChar w:fldCharType="end"/>
      </w:r>
      <w:r w:rsidRPr="00FA2CF8">
        <w:t>. En estos estudios, la metodología utilizada es diferencias-en-diferencias y en el caso de Hastings, se utiliza para evaluar el efecto de la adquisición de un grupo de estaciones independientes (sin marca) por una cadena reconocida.</w:t>
      </w:r>
      <w:r w:rsidR="00D466ED">
        <w:t xml:space="preserve"> Hastings encuentra que ….</w:t>
      </w:r>
    </w:p>
    <w:p w14:paraId="58B021A0" w14:textId="7F674AF8" w:rsidR="00B714F9" w:rsidRDefault="00FA2CF8" w:rsidP="00F57A1B">
      <w:r w:rsidRPr="00FA2CF8">
        <w:t xml:space="preserve">Debido a la dificultad de contar con información confiable de los volúmenes de venta por producto a nivel de estaciones, los trabajos que estiman modelos estructurales son escasos. En esta rama de la literatura, el trabajo seminal corresponde a </w:t>
      </w:r>
      <w:proofErr w:type="spellStart"/>
      <w:r w:rsidRPr="00FA2CF8">
        <w:t>Slade</w:t>
      </w:r>
      <w:proofErr w:type="spellEnd"/>
      <w:r w:rsidRPr="00FA2CF8">
        <w:t xml:space="preserve"> </w:t>
      </w:r>
      <w:r w:rsidRPr="00FA2CF8">
        <w:fldChar w:fldCharType="begin"/>
      </w:r>
      <w:r w:rsidRPr="00FA2CF8">
        <w:instrText xml:space="preserve"> ADDIN ZOTERO_ITEM CSL_CITATION {"citationID":"giEAfXSH","properties":{"formattedCitation":"(1992)","plainCitation":"(1992)","noteIndex":0},"citationItems":[{"id":790,"uris":["http://zotero.org/groups/2269288/items/JF7QBJ9Y"],"uri":["http://zotero.org/groups/2269288/items/JF7QBJ9Y"],"itemData":{"id":790,"type":"article-journal","title":"Vancouver's Gasoline-Price Wars: An Empirical Exercise in Uncovering Supergame Strategies","container-title":"The Review of Economic Studies","page":"257","volume":"59","issue":"2","source":"Crossref","URL":"https://academic.oup.com/restud/article-lookup/doi/10.2307/2297954","DOI":"10.2307/2297954","ISSN":"00346527","shortTitle":"Vancouver's Gasoline-Price Wars","language":"en","author":[{"family":"Slade","given":"Margaret E."}],"issued":{"date-parts":[["1992",4]]},"accessed":{"date-parts":[["2018",12,22]]}},"suppress-author":true}],"schema":"https://github.com/citation-style-language/schema/raw/master/csl-citation.json"} </w:instrText>
      </w:r>
      <w:r w:rsidRPr="00FA2CF8">
        <w:fldChar w:fldCharType="separate"/>
      </w:r>
      <w:r w:rsidRPr="00FA2CF8">
        <w:rPr>
          <w:rFonts w:ascii="Times New Roman" w:hAnsi="Times New Roman"/>
        </w:rPr>
        <w:t>(1992)</w:t>
      </w:r>
      <w:r w:rsidRPr="00FA2CF8">
        <w:fldChar w:fldCharType="end"/>
      </w:r>
      <w:r w:rsidRPr="00FA2CF8">
        <w:t xml:space="preserve"> que recolectó datos de precios y cantidades en una muestra limita de estaciones en Vancouver para poner a prueba distintos modelos de oligopolio. </w:t>
      </w:r>
      <w:proofErr w:type="spellStart"/>
      <w:r w:rsidRPr="00FA2CF8">
        <w:t>Houde</w:t>
      </w:r>
      <w:proofErr w:type="spellEnd"/>
      <w:r w:rsidRPr="00FA2CF8">
        <w:t xml:space="preserve"> </w:t>
      </w:r>
      <w:r w:rsidRPr="00FA2CF8">
        <w:fldChar w:fldCharType="begin"/>
      </w:r>
      <w:r w:rsidRPr="00FA2CF8">
        <w:instrText xml:space="preserve"> ADDIN ZOTERO_ITEM CSL_CITATION {"citationID":"RpfMXUMn","properties":{"formattedCitation":"(2012)","plainCitation":"(2012)","noteIndex":0},"citationItems":[{"id":796,"uris":["http://zotero.org/groups/2269288/items/74NWKGC3"],"uri":["http://zotero.org/groups/2269288/items/74NWKGC3"],"itemData":{"id":796,"type":"article-journal","title":"Spatial Differentiation and Vertical Mergers in Retail Markets for Gasoline","container-title":"American Economic Review","page":"2147-2182","volume":"102","issue":"5","source":"Crossref","URL":"http://pubs.aeaweb.org/doi/10.1257/aer.102.5.2147","DOI":"10.1257/aer.102.5.2147","ISSN":"0002-8282","language":"en","author":[{"family":"Houde","given":"Jean-François"}],"issued":{"date-parts":[["2012",8]]},"accessed":{"date-parts":[["2018",12,22]]}},"suppress-author":true}],"schema":"https://github.com/citation-style-language/schema/raw/master/csl-citation.json"} </w:instrText>
      </w:r>
      <w:r w:rsidRPr="00FA2CF8">
        <w:fldChar w:fldCharType="separate"/>
      </w:r>
      <w:r w:rsidRPr="00FA2CF8">
        <w:rPr>
          <w:rFonts w:ascii="Times New Roman" w:hAnsi="Times New Roman"/>
        </w:rPr>
        <w:t>(2012)</w:t>
      </w:r>
      <w:r w:rsidRPr="00FA2CF8">
        <w:fldChar w:fldCharType="end"/>
      </w:r>
      <w:r w:rsidRPr="00FA2CF8">
        <w:t xml:space="preserve"> y </w:t>
      </w:r>
      <w:proofErr w:type="spellStart"/>
      <w:r w:rsidRPr="00FA2CF8">
        <w:t>Manuszak</w:t>
      </w:r>
      <w:proofErr w:type="spellEnd"/>
      <w:r w:rsidRPr="00FA2CF8">
        <w:t xml:space="preserve"> </w:t>
      </w:r>
      <w:r w:rsidRPr="00FA2CF8">
        <w:fldChar w:fldCharType="begin"/>
      </w:r>
      <w:r w:rsidRPr="00FA2CF8">
        <w:instrText xml:space="preserve"> ADDIN ZOTERO_ITEM CSL_CITATION {"citationID":"GyDJGVeK","properties":{"formattedCitation":"(2010)","plainCitation":"(2010)","noteIndex":0},"citationItems":[{"id":795,"uris":["http://zotero.org/groups/2269288/items/L5N2UFHR"],"uri":["http://zotero.org/groups/2269288/items/L5N2UFHR"],"itemData":{"id":795,"type":"article-journal","title":"Predicting the impact of upstream mergers on downstream markets with an application to the retail gasoline industry","container-title":"International Journal of Industrial Organization","page":"99-111","volume":"28","issue":"1","source":"Crossref","abstract":"This paper presents an empirical model of oligopolistic supply and demand that reﬂects divisions between downstream retailers and upstream suppliers in order to evaluate the potential effects of upstream mergers. The demand model allows for downstream product differentiation, while the supply model allows upstream ﬁrms to inherit market power from their afﬁliated retailers. The supply and demand models are jointly estimated using data on the retail gasoline industry for the Hawaiian islands in the 1990s. A number of hypothetical upstream mergers in the Hawaiian retail gasoline industry are simulated to evaluate the effects of the mergers on market outcomes and welfare. Various scenarios with post-merger cost savings are also considered.","URL":"https://linkinghub.elsevier.com/retrieve/pii/S0167718709000629","DOI":"10.1016/j.ijindorg.2009.07.002","ISSN":"01677187","language":"en","author":[{"family":"Manuszak","given":"Mark D."}],"issued":{"date-parts":[["2010",1]]},"accessed":{"date-parts":[["2018",12,22]]}},"suppress-author":true}],"schema":"https://github.com/citation-style-language/schema/raw/master/csl-citation.json"} </w:instrText>
      </w:r>
      <w:r w:rsidRPr="00FA2CF8">
        <w:fldChar w:fldCharType="separate"/>
      </w:r>
      <w:r w:rsidRPr="00FA2CF8">
        <w:rPr>
          <w:rFonts w:ascii="Times New Roman" w:hAnsi="Times New Roman"/>
        </w:rPr>
        <w:t>(2010)</w:t>
      </w:r>
      <w:r w:rsidRPr="00FA2CF8">
        <w:fldChar w:fldCharType="end"/>
      </w:r>
      <w:r w:rsidRPr="00FA2CF8">
        <w:t xml:space="preserve"> también estiman modelos estructurales para determinar la estructura de mercados, utilizando en este caso base de datos con </w:t>
      </w:r>
      <w:r w:rsidRPr="00FA2CF8">
        <w:lastRenderedPageBreak/>
        <w:t>volúmenes adquiridas a firmas especializadas en mercados de combustibles en Canadá y EE.UU.</w:t>
      </w:r>
      <w:r w:rsidR="00B714F9">
        <w:t xml:space="preserve"> </w:t>
      </w:r>
      <w:proofErr w:type="spellStart"/>
      <w:r w:rsidR="00B714F9">
        <w:t>Houde</w:t>
      </w:r>
      <w:proofErr w:type="spellEnd"/>
      <w:r w:rsidR="00B714F9">
        <w:t xml:space="preserve"> encuentra que …. Mientras que </w:t>
      </w:r>
      <w:proofErr w:type="spellStart"/>
      <w:r w:rsidR="00B714F9">
        <w:t>Manuszak</w:t>
      </w:r>
      <w:proofErr w:type="spellEnd"/>
      <w:r w:rsidR="00B714F9">
        <w:t xml:space="preserve"> </w:t>
      </w:r>
      <w:proofErr w:type="spellStart"/>
      <w:r w:rsidR="00B714F9">
        <w:t>halla</w:t>
      </w:r>
      <w:proofErr w:type="spellEnd"/>
      <w:r w:rsidR="00B714F9">
        <w:t xml:space="preserve"> que …</w:t>
      </w:r>
    </w:p>
    <w:p w14:paraId="38B4137D" w14:textId="62669783" w:rsidR="00B714F9" w:rsidRDefault="00B714F9" w:rsidP="002C12C7">
      <w:pPr>
        <w:pStyle w:val="Ttulo2"/>
      </w:pPr>
      <w:r w:rsidRPr="00CD64C6">
        <w:t>Modelos</w:t>
      </w:r>
      <w:r>
        <w:t xml:space="preserve"> de econometría espacial</w:t>
      </w:r>
    </w:p>
    <w:p w14:paraId="14CF6DA9" w14:textId="6FE0A536" w:rsidR="004C4ACE" w:rsidRPr="002C12C7" w:rsidRDefault="004C4ACE" w:rsidP="002C12C7">
      <w:pPr>
        <w:pStyle w:val="Ttulo3"/>
      </w:pPr>
      <w:r w:rsidRPr="002C12C7">
        <w:t xml:space="preserve">Modelo general de </w:t>
      </w:r>
      <w:proofErr w:type="spellStart"/>
      <w:r w:rsidRPr="002C12C7">
        <w:t>Manski</w:t>
      </w:r>
      <w:proofErr w:type="spellEnd"/>
    </w:p>
    <w:p w14:paraId="06A4C3EE" w14:textId="527B8AC8" w:rsidR="0004424C" w:rsidRDefault="0004424C" w:rsidP="0004424C">
      <w:r>
        <w:t xml:space="preserve">En esta sección realizamos una revisión de los modelos lineales de dependencia espacial para corte transversal y panel. La discusión sigue lo descrito por </w:t>
      </w:r>
      <w:proofErr w:type="spellStart"/>
      <w:r>
        <w:t>Elhorst</w:t>
      </w:r>
      <w:proofErr w:type="spellEnd"/>
      <w:r>
        <w:t xml:space="preserve"> </w:t>
      </w:r>
      <w:r>
        <w:fldChar w:fldCharType="begin"/>
      </w:r>
      <w:r>
        <w:instrText xml:space="preserve"> ADDIN ZOTERO_ITEM CSL_CITATION {"citationID":"2iaL9eoq","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libro.","URL":"https://doi.org/10.1080/17421770903541772","DOI":"10.1080/17421770903541772","ISSN":"1742-1772","shortTitle":"Applied Spatial Econometrics","author":[{"family":"Elhorst","given":"J. Paul"}],"issued":{"date-parts":[["2010",3,1]]},"accessed":{"date-parts":[["2019",4,7]]}},"suppress-author":true}],"schema":"https://github.com/citation-style-language/schema/raw/master/csl-citation.json"} </w:instrText>
      </w:r>
      <w:r>
        <w:fldChar w:fldCharType="separate"/>
      </w:r>
      <w:r w:rsidRPr="0004424C">
        <w:rPr>
          <w:rFonts w:ascii="Times New Roman" w:hAnsi="Times New Roman"/>
        </w:rPr>
        <w:t>(2010)</w:t>
      </w:r>
      <w:r>
        <w:fldChar w:fldCharType="end"/>
      </w:r>
      <w:r>
        <w:t xml:space="preserve"> y </w:t>
      </w:r>
      <w:r w:rsidRPr="0004424C">
        <w:rPr>
          <w:highlight w:val="yellow"/>
        </w:rPr>
        <w:t>…</w:t>
      </w:r>
    </w:p>
    <w:p w14:paraId="5DC0005C" w14:textId="432628E1" w:rsidR="0004424C" w:rsidRDefault="0004424C" w:rsidP="0004424C">
      <w:r>
        <w:t xml:space="preserve">Existen tres tipos de interacción que pueden explicar por qué una observación puede estar relacionada con otra cercana: (i) problemas de endogeneidad, donde las decisiones de una unidad, en el caso del presente trabajo sería el precio del combustible, pueden depender de otras unidades; (ii) por exogeneidad, cuando la observación depende de variables independientes que entraron en la decisión de una unidad vecina; (iii) efectos correlacionados, cuando existen características no observadas que acarrean un comportamiento similar </w:t>
      </w:r>
      <w:r>
        <w:fldChar w:fldCharType="begin"/>
      </w:r>
      <w:r>
        <w:instrText xml:space="preserve"> ADDIN ZOTERO_ITEM CSL_CITATION {"citationID":"TzNGnAWc","properties":{"formattedCitation":"(Manski, 1993)","plainCitation":"(Manski, 1993)","noteIndex":0},"citationItems":[{"id":1074,"uris":["http://zotero.org/groups/2269288/items/2ALCFJLD"],"uri":["http://zotero.org/groups/2269288/items/2ALCFJLD"],"itemData":{"id":1074,"type":"article-journal","title":"Identification of endogenous social effects: The reflection problem","container-title":"The review of economic studies","page":"531–542","volume":"60","issue":"3","source":"Google Scholar","shortTitle":"Identification of endogenous social effects","author":[{"family":"Manski","given":"Charles F."}],"issued":{"date-parts":[["1993"]]}}}],"schema":"https://github.com/citation-style-language/schema/raw/master/csl-citation.json"} </w:instrText>
      </w:r>
      <w:r>
        <w:fldChar w:fldCharType="separate"/>
      </w:r>
      <w:r w:rsidRPr="0004424C">
        <w:rPr>
          <w:rFonts w:ascii="Times New Roman" w:hAnsi="Times New Roman"/>
        </w:rPr>
        <w:t>(Manski, 1993)</w:t>
      </w:r>
      <w:r>
        <w:fldChar w:fldCharType="end"/>
      </w:r>
      <w:r>
        <w:t>.</w:t>
      </w:r>
      <w:r w:rsidR="00C72315">
        <w:t xml:space="preserve"> </w:t>
      </w:r>
      <w:proofErr w:type="spellStart"/>
      <w:r w:rsidR="00C72315">
        <w:t>Manski</w:t>
      </w:r>
      <w:proofErr w:type="spellEnd"/>
      <w:r w:rsidR="00C72315">
        <w:t xml:space="preserve"> modeló esta situación de la siguiente manera:</w:t>
      </w:r>
    </w:p>
    <w:p w14:paraId="01EE9441" w14:textId="7302A542" w:rsidR="00AD5B83" w:rsidRDefault="00C72315" w:rsidP="00AD5B83">
      <w:pPr>
        <w:tabs>
          <w:tab w:val="center" w:pos="3828"/>
          <w:tab w:val="right" w:pos="9361"/>
        </w:tabs>
        <w:jc w:val="center"/>
      </w:pPr>
      <m:oMath>
        <m:r>
          <w:rPr>
            <w:rFonts w:ascii="Cambria Math" w:hAnsi="Cambria Math"/>
          </w:rPr>
          <m:t>Y=ρWY+α</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+Xβ+WXθ+u</m:t>
        </m:r>
      </m:oMath>
      <w:r w:rsidR="00AD5B83">
        <w:tab/>
      </w:r>
    </w:p>
    <w:p w14:paraId="714A6C69" w14:textId="0D8ABFE8" w:rsidR="00C72315" w:rsidRPr="00C72315" w:rsidRDefault="00C72315" w:rsidP="00AD5B83">
      <w:pPr>
        <w:tabs>
          <w:tab w:val="center" w:pos="3828"/>
          <w:tab w:val="right" w:pos="9361"/>
        </w:tabs>
        <w:jc w:val="center"/>
      </w:pPr>
      <m:oMathPara>
        <m:oMath>
          <m:r>
            <w:rPr>
              <w:rFonts w:ascii="Cambria Math" w:hAnsi="Cambria Math"/>
            </w:rPr>
            <m:t>u=λWu+ε</m:t>
          </m:r>
        </m:oMath>
      </m:oMathPara>
    </w:p>
    <w:p w14:paraId="3EA9F9BD" w14:textId="03DCFD83" w:rsidR="0004424C" w:rsidRDefault="00C72315" w:rsidP="0004424C">
      <w:r>
        <w:t xml:space="preserve">Donde </w:t>
      </w:r>
      <m:oMath>
        <m:r>
          <w:rPr>
            <w:rFonts w:ascii="Cambria Math" w:hAnsi="Cambria Math"/>
          </w:rPr>
          <m:t>WY</m:t>
        </m:r>
      </m:oMath>
      <w:r>
        <w:t xml:space="preserve"> recoge las interacciones entre las variables dependientes de distintas unidades, </w:t>
      </w:r>
      <m:oMath>
        <m:r>
          <w:rPr>
            <w:rFonts w:ascii="Cambria Math" w:hAnsi="Cambria Math"/>
          </w:rPr>
          <m:t>WX</m:t>
        </m:r>
      </m:oMath>
      <w:r>
        <w:t xml:space="preserve"> las interacciones de las características observables vecinas, </w:t>
      </w:r>
      <m:oMath>
        <m:r>
          <w:rPr>
            <w:rFonts w:ascii="Cambria Math" w:hAnsi="Cambria Math"/>
          </w:rPr>
          <m:t>Wu</m:t>
        </m:r>
      </m:oMath>
      <w:r>
        <w:t xml:space="preserve"> las interacciones entre las características no observables de las unidades espaciales. </w:t>
      </w:r>
      <m:oMath>
        <m:r>
          <w:rPr>
            <w:rFonts w:ascii="Cambria Math" w:hAnsi="Cambria Math"/>
          </w:rPr>
          <m:t>ρ</m:t>
        </m:r>
      </m:oMath>
      <w:r>
        <w:t xml:space="preserve"> recibe el nombre coeficiente espacial autoregresivo, </w:t>
      </w:r>
      <m:oMath>
        <m:r>
          <w:rPr>
            <w:rFonts w:ascii="Cambria Math" w:hAnsi="Cambria Math"/>
          </w:rPr>
          <m:t>λ</m:t>
        </m:r>
      </m:oMath>
      <w:r>
        <w:t xml:space="preserve"> es el coeficiente de autocorrelación espacial, </w:t>
      </w:r>
      <m:oMath>
        <m:r>
          <w:rPr>
            <w:rFonts w:ascii="Cambria Math" w:hAnsi="Cambria Math"/>
          </w:rPr>
          <m:t>θ</m:t>
        </m:r>
      </m:oMath>
      <w:r>
        <w:t xml:space="preserve"> y </w:t>
      </w:r>
      <m:oMath>
        <m:r>
          <w:rPr>
            <w:rFonts w:ascii="Cambria Math" w:hAnsi="Cambria Math"/>
          </w:rPr>
          <m:t>β</m:t>
        </m:r>
      </m:oMath>
      <w:r>
        <w:t xml:space="preserve"> son vectores de parámetros desconocidos. Finalmente, la literatura da especial atención a la formulación de la matriz </w:t>
      </w:r>
      <m:oMath>
        <m:r>
          <w:rPr>
            <w:rFonts w:ascii="Cambria Math" w:hAnsi="Cambria Math"/>
          </w:rPr>
          <m:t>W</m:t>
        </m:r>
      </m:oMath>
      <w:r>
        <w:t xml:space="preserve"> que describe la distribución </w:t>
      </w:r>
      <w:r w:rsidR="00CF3910">
        <w:t xml:space="preserve">espacial </w:t>
      </w:r>
      <w:r>
        <w:t xml:space="preserve">de las observaciones </w:t>
      </w:r>
      <w:r w:rsidR="00CF3910">
        <w:t>en la muestra.</w:t>
      </w:r>
    </w:p>
    <w:p w14:paraId="78BF8765" w14:textId="0D5AEADE" w:rsidR="004C4ACE" w:rsidRDefault="004C4ACE" w:rsidP="002C12C7">
      <w:pPr>
        <w:pStyle w:val="Ttulo3"/>
      </w:pPr>
      <w:bookmarkStart w:id="7" w:name="_Ref5724351"/>
      <w:r>
        <w:lastRenderedPageBreak/>
        <w:t xml:space="preserve">Modelos derivados del modelo de </w:t>
      </w:r>
      <w:proofErr w:type="spellStart"/>
      <w:r>
        <w:t>Manski</w:t>
      </w:r>
      <w:bookmarkEnd w:id="7"/>
      <w:proofErr w:type="spellEnd"/>
    </w:p>
    <w:p w14:paraId="73F0EF7B" w14:textId="171E60B9" w:rsidR="004C4ACE" w:rsidRDefault="004C4ACE" w:rsidP="00AD5B83">
      <w:r>
        <w:t xml:space="preserve">Aplicando restricciones al modelo de la ecuación </w:t>
      </w:r>
      <w:r w:rsidR="00AD5B83">
        <w:t>se obtienen ocho modelos lineales entre los que destacan el modelo espacial de Durbin, el modelo con rezagos espaciales y modelo de errores espaciales. El diagrama de flujo de los modelos se muestra en la figura tal…</w:t>
      </w:r>
    </w:p>
    <w:p w14:paraId="03715B5F" w14:textId="66A3750B" w:rsidR="00AD5B83" w:rsidRDefault="00AD5B83" w:rsidP="00AD5B83">
      <w:r>
        <w:rPr>
          <w:noProof/>
          <w:lang w:val="en-US"/>
        </w:rPr>
        <mc:AlternateContent>
          <mc:Choice Requires="wps">
            <w:drawing>
              <wp:anchor distT="45720" distB="45720" distL="114300" distR="114300" simplePos="0" relativeHeight="251661312" behindDoc="0" locked="0" layoutInCell="1" allowOverlap="1" wp14:anchorId="27CE17EA" wp14:editId="102FA733">
                <wp:simplePos x="0" y="0"/>
                <wp:positionH relativeFrom="column">
                  <wp:posOffset>819150</wp:posOffset>
                </wp:positionH>
                <wp:positionV relativeFrom="paragraph">
                  <wp:posOffset>0</wp:posOffset>
                </wp:positionV>
                <wp:extent cx="3752850" cy="1790700"/>
                <wp:effectExtent l="0" t="0" r="19050" b="1905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2850" cy="1790700"/>
                        </a:xfrm>
                        <a:prstGeom prst="rect">
                          <a:avLst/>
                        </a:prstGeom>
                        <a:solidFill>
                          <a:srgbClr val="FFFFFF"/>
                        </a:solidFill>
                        <a:ln w="9525">
                          <a:solidFill>
                            <a:srgbClr val="000000"/>
                          </a:solidFill>
                          <a:miter lim="800000"/>
                          <a:headEnd/>
                          <a:tailEnd/>
                        </a:ln>
                      </wps:spPr>
                      <wps:txbx>
                        <w:txbxContent>
                          <w:p w14:paraId="4D3E392A" w14:textId="5CAC01DF" w:rsidR="000F00BA" w:rsidRDefault="000F00BA" w:rsidP="00AD5B83">
                            <w:r>
                              <w:t xml:space="preserve">Figura 1 de </w:t>
                            </w:r>
                            <w:proofErr w:type="spellStart"/>
                            <w:r>
                              <w:t>elhorst</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CE17EA" id="_x0000_t202" coordsize="21600,21600" o:spt="202" path="m,l,21600r21600,l21600,xe">
                <v:stroke joinstyle="miter"/>
                <v:path gradientshapeok="t" o:connecttype="rect"/>
              </v:shapetype>
              <v:shape id="Cuadro de texto 2" o:spid="_x0000_s1026" type="#_x0000_t202" style="position:absolute;left:0;text-align:left;margin-left:64.5pt;margin-top:0;width:295.5pt;height:14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">
                <v:textbox>
                  <w:txbxContent>
                    <w:p w14:paraId="4D3E392A" w14:textId="5CAC01DF" w:rsidR="000F00BA" w:rsidRDefault="000F00BA" w:rsidP="00AD5B83">
                      <w:r>
                        <w:t xml:space="preserve">Figura 1 de </w:t>
                      </w:r>
                      <w:proofErr w:type="spellStart"/>
                      <w:r>
                        <w:t>elhorst</w:t>
                      </w:r>
                      <w:proofErr w:type="spellEnd"/>
                    </w:p>
                  </w:txbxContent>
                </v:textbox>
                <w10:wrap type="square"/>
              </v:shape>
            </w:pict>
          </mc:Fallback>
        </mc:AlternateContent>
      </w:r>
    </w:p>
    <w:p w14:paraId="56D63DCD" w14:textId="0B2C758F" w:rsidR="00AD5B83" w:rsidRDefault="00AD5B83" w:rsidP="00AD5B83"/>
    <w:p w14:paraId="43A6A0DA" w14:textId="67B85914" w:rsidR="00AD5B83" w:rsidRDefault="00AD5B83" w:rsidP="00AD5B83"/>
    <w:p w14:paraId="263E44A9" w14:textId="77777777" w:rsidR="00AD5B83" w:rsidRDefault="00AD5B83" w:rsidP="00AD5B83"/>
    <w:p w14:paraId="74AA15B7" w14:textId="79AF44C9" w:rsidR="00944BE0" w:rsidRDefault="00AD5B83" w:rsidP="00484455">
      <w:proofErr w:type="spellStart"/>
      <w:r>
        <w:t>Manski</w:t>
      </w:r>
      <w:proofErr w:type="spellEnd"/>
      <w:r>
        <w:t xml:space="preserve"> (1993) mostró que al menos uno de los K + </w:t>
      </w:r>
      <w:proofErr w:type="gramStart"/>
      <w:r>
        <w:t>2 parámetros relacionados a variables espaciales debe</w:t>
      </w:r>
      <w:proofErr w:type="gramEnd"/>
      <w:r>
        <w:t xml:space="preserve"> ser excluido para que el sistema esté identificado. Se recomienda excluir </w:t>
      </w:r>
      <w:r w:rsidR="00944BE0">
        <w:t xml:space="preserve">el coeficiente de autocorrelación espacial </w:t>
      </w:r>
      <m:oMath>
        <m:r>
          <w:rPr>
            <w:rFonts w:ascii="Cambria Math" w:hAnsi="Cambria Math"/>
          </w:rPr>
          <m:t xml:space="preserve">λ   </m:t>
        </m:r>
      </m:oMath>
      <w:r w:rsidR="00944BE0">
        <w:t xml:space="preserve">ya que ignorar la interdependencia de los espacial de los errores solo genera ineficiencia en el resto de los estimadores, mas estos siguen siendo consistentes e insesgados. En caso exista interdependencia espacial, Elhorst </w:t>
      </w:r>
      <w:r w:rsidR="00944BE0">
        <w:fldChar w:fldCharType="begin"/>
      </w:r>
      <w:r w:rsidR="00944BE0">
        <w:instrText xml:space="preserve"> ADDIN ZOTERO_ITEM CSL_CITATION {"citationID":"q6ljdTn8","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libro.","URL":"https://doi.org/10.1080/17421770903541772","DOI":"10.1080/17421770903541772","ISSN":"1742-1772","shortTitle":"Applied Spatial Econometrics","author":[{"family":"Elhorst","given":"J. Paul"}],"issued":{"date-parts":[["2010",3,1]]},"accessed":{"date-parts":[["2019",4,7]]}},"suppress-author":true}],"schema":"https://github.com/citation-style-language/schema/raw/master/csl-citation.json"} </w:instrText>
      </w:r>
      <w:r w:rsidR="00944BE0">
        <w:fldChar w:fldCharType="separate"/>
      </w:r>
      <w:r w:rsidR="00944BE0" w:rsidRPr="00944BE0">
        <w:rPr>
          <w:rFonts w:ascii="Times New Roman" w:hAnsi="Times New Roman"/>
        </w:rPr>
        <w:t>(2010)</w:t>
      </w:r>
      <w:r w:rsidR="00944BE0">
        <w:fldChar w:fldCharType="end"/>
      </w:r>
      <w:r w:rsidR="00944BE0">
        <w:t xml:space="preserve"> sugiere utilizar el modelo espacial de Durbin, el modelo de rezagos espaciales o el modelo de errores espaciales.</w:t>
      </w:r>
    </w:p>
    <w:p w14:paraId="53EEDB3D" w14:textId="53490302" w:rsidR="00944BE0" w:rsidRDefault="00944BE0" w:rsidP="00484455">
      <w:r>
        <w:t>El método de estimación utilizado para estos modelos consiste en Máxima Verosimilitud y el método generalizado de momentos. El primero permite la estimación de parámetros cuando no se tienen variables endógenas. Cuando se debe tener cuenta endogeneidad adicional a la capturada por los procesos espaciales, se debe utilizar una estimación IV</w:t>
      </w:r>
      <w:r w:rsidR="00DA58E5">
        <w:t xml:space="preserve">/GMM </w:t>
      </w:r>
      <w:r w:rsidR="00DA58E5">
        <w:fldChar w:fldCharType="begin"/>
      </w:r>
      <w:r w:rsidR="00DA58E5">
        <w:instrText xml:space="preserve"> ADDIN ZOTERO_ITEM CSL_CITATION {"citationID":"TDW8TpWU","properties":{"formattedCitation":"(Fingleton &amp; Le Gallo, 2008)","plainCitation":"(Fingleton &amp; Le Gallo, 2008)","noteIndex":0},"citationItems":[{"id":1081,"uris":["http://zotero.org/groups/2269288/items/L2UF5MY5"],"uri":["http://zotero.org/groups/2269288/items/L2UF5MY5"],"itemData":{"id":1081,"type":"article-journal","title":"Estimating spatial models with endogenous variables, a spatial lag and spatially dependent disturbances: finite sample properties","container-title":"Papers in Regional Science","page":"319–339","volume":"87","issue":"3","source":"Google Scholar","shortTitle":"Estimating spatial models with endogenous variables, a spatial lag and spatially dependent disturbances","author":[{"family":"Fingleton","given":"Bernard"},{"family":"Le Gallo","given":"Julie"}],"issued":{"date-parts":[["2008"]]}}}],"schema":"https://github.com/citation-style-language/schema/raw/master/csl-citation.json"} </w:instrText>
      </w:r>
      <w:r w:rsidR="00DA58E5">
        <w:fldChar w:fldCharType="separate"/>
      </w:r>
      <w:r w:rsidR="00DA58E5" w:rsidRPr="00DA58E5">
        <w:rPr>
          <w:rFonts w:ascii="Times New Roman" w:hAnsi="Times New Roman"/>
        </w:rPr>
        <w:t>(Fingleton &amp; Le Gallo, 2008)</w:t>
      </w:r>
      <w:r w:rsidR="00DA58E5">
        <w:fldChar w:fldCharType="end"/>
      </w:r>
      <w:r w:rsidR="00DA58E5">
        <w:t xml:space="preserve">. El detalle de la estimación por Máxima Verosimilitud se puede encontrar en </w:t>
      </w:r>
      <w:proofErr w:type="spellStart"/>
      <w:r w:rsidR="00DA58E5">
        <w:t>LeSage</w:t>
      </w:r>
      <w:proofErr w:type="spellEnd"/>
      <w:r w:rsidR="00DA58E5">
        <w:t xml:space="preserve"> y Pace </w:t>
      </w:r>
      <w:r w:rsidR="00DA58E5">
        <w:fldChar w:fldCharType="begin"/>
      </w:r>
      <w:r w:rsidR="00DA58E5">
        <w:instrText xml:space="preserve"> ADDIN ZOTERO_ITEM CSL_CITATION {"citationID":"2Tz6igHt","properties":{"formattedCitation":"(2009)","plainCitation":"(2009)","noteIndex":0},"citationItems":[{"id":1084,"uris":["http://zotero.org/groups/2269288/items/TENS87NW"],"uri":["http://zotero.org/groups/2269288/items/TENS87NW"],"itemData":{"id":1084,"type":"book","title":"Introduction to spatial econometrics","publisher":"Chapman and Hall/CRC","source":"Google Scholar","author":[{"family":"LeSage","given":"James"},{"family":"Pace","given":"Robert Kelley"}],"issued":{"date-parts":[["2009"]]}},"suppress-author":true}],"schema":"https://github.com/citation-style-language/schema/raw/master/csl-citation.json"} </w:instrText>
      </w:r>
      <w:r w:rsidR="00DA58E5">
        <w:fldChar w:fldCharType="separate"/>
      </w:r>
      <w:r w:rsidR="00DA58E5" w:rsidRPr="00DA58E5">
        <w:rPr>
          <w:rFonts w:ascii="Times New Roman" w:hAnsi="Times New Roman"/>
        </w:rPr>
        <w:t>(2009)</w:t>
      </w:r>
      <w:r w:rsidR="00DA58E5">
        <w:fldChar w:fldCharType="end"/>
      </w:r>
    </w:p>
    <w:p w14:paraId="0692D83D" w14:textId="77777777" w:rsidR="00944BE0" w:rsidRDefault="00944BE0" w:rsidP="002C12C7">
      <w:pPr>
        <w:pStyle w:val="Ttulo2"/>
      </w:pPr>
      <w:r>
        <w:lastRenderedPageBreak/>
        <w:t xml:space="preserve"> Selección de la matriz de pesos espaciales</w:t>
      </w:r>
    </w:p>
    <w:p w14:paraId="4A7E5422" w14:textId="77777777" w:rsidR="00944BE0" w:rsidRDefault="00944BE0" w:rsidP="00944BE0">
      <w:r>
        <w:t xml:space="preserve">La matriz </w:t>
      </w:r>
      <m:oMath>
        <m:r>
          <w:rPr>
            <w:rFonts w:ascii="Cambria Math" w:hAnsi="Cambria Math"/>
          </w:rPr>
          <m:t>W</m:t>
        </m:r>
      </m:oMath>
      <w:r>
        <w:t xml:space="preserve"> es una matriz no negativa de orden </w:t>
      </w:r>
      <m:oMath>
        <m:r>
          <w:rPr>
            <w:rFonts w:ascii="Cambria Math" w:hAnsi="Cambria Math"/>
          </w:rPr>
          <m:t>N</m:t>
        </m:r>
      </m:oMath>
      <w:r>
        <w:t xml:space="preserve">, el total de elementos en la muestra. De esta manera, la sumatoria </w:t>
      </w:r>
      <m:oMath>
        <m:nary>
          <m:naryPr>
            <m:chr m:val="∑"/>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oMath>
      <w:r>
        <w:t xml:space="preserve"> proporciona un promedio ponderado de la variable dependiente en la vecindad de </w:t>
      </w:r>
      <m:oMath>
        <m:r>
          <w:rPr>
            <w:rFonts w:ascii="Cambria Math" w:hAnsi="Cambria Math"/>
          </w:rPr>
          <m:t>i</m:t>
        </m:r>
      </m:oMath>
      <w:r>
        <w:t xml:space="preserve">. Por definición, todos los elementos de la diagonal principal de </w:t>
      </w:r>
      <m:oMath>
        <m:r>
          <w:rPr>
            <w:rFonts w:ascii="Cambria Math" w:hAnsi="Cambria Math"/>
          </w:rPr>
          <m:t>W</m:t>
        </m:r>
      </m:oMath>
      <w:r>
        <w:t xml:space="preserve"> son iguales a cero, puesto que ninguna unidad puede ser vecina de sí misma. Existen varias maneras de definir la matriz de pesos, y la elección dependerá de las características del espaciales de las observaciones estudiadas </w:t>
      </w:r>
      <w:r>
        <w:fldChar w:fldCharType="begin"/>
      </w:r>
      <w:r>
        <w:instrText xml:space="preserve"> ADDIN ZOTERO_ITEM CSL_CITATION {"citationID":"H6ovbTEM","properties":{"formattedCitation":"(Chung &amp; Park, 2014)","plainCitation":"(Chung &amp; Park, 2014)","noteIndex":0},"citationItems":[{"id":1077,"uris":["http://zotero.org/groups/2269288/items/IS872E95"],"uri":["http://zotero.org/groups/2269288/items/IS872E95"],"itemData":{"id":1077,"type":"article-journal","title":"Analysis of Spatial Interaction Effect of Retail Gasoline Price in Seoul","container-title":"Korea and the World Economy","page":"209–241","volume":"15","issue":"2","source":"Google Scholar","author":[{"family":"Chung","given":"Yeimin"},{"family":"Park","given":"Hojeong"}],"issued":{"date-parts":[["2014"]]}}}],"schema":"https://github.com/citation-style-language/schema/raw/master/csl-citation.json"} </w:instrText>
      </w:r>
      <w:r>
        <w:fldChar w:fldCharType="separate"/>
      </w:r>
      <w:r w:rsidRPr="00484455">
        <w:rPr>
          <w:rFonts w:ascii="Times New Roman" w:hAnsi="Times New Roman"/>
        </w:rPr>
        <w:t>(Chung &amp; Park, 2014)</w:t>
      </w:r>
      <w:r>
        <w:fldChar w:fldCharType="end"/>
      </w:r>
      <w:r>
        <w:t>.</w:t>
      </w:r>
    </w:p>
    <w:p w14:paraId="6B6E6A20" w14:textId="29DDAD97" w:rsidR="00944BE0" w:rsidRDefault="00944BE0" w:rsidP="00944BE0">
      <w:r>
        <w:t xml:space="preserve">Cuando la distribución de las unidades no es la misma, utilizar reglas de corte rígidas para definir vecinos, por ejemplo, unidades a una distancia menor a 1 km, genera que se tengan zonas con muchos vecinos y zonas que no tienen vecinos y que en teoría no compiten con ninguna otra. En ese caso Dale </w:t>
      </w:r>
      <w:r>
        <w:fldChar w:fldCharType="begin"/>
      </w:r>
      <w:r>
        <w:instrText xml:space="preserve"> ADDIN ZOTERO_ITEM CSL_CITATION {"citationID":"tjfK7wfj","properties":{"formattedCitation":"(2004:52)","plainCitation":"(2004:52)","noteIndex":0},"citationItems":[{"id":1079,"uris":["http://zotero.org/groups/2269288/items/RXVE3LGK"],"uri":["http://zotero.org/groups/2269288/items/RXVE3LGK"],"itemData":{"id":1079,"type":"book","title":"Introduction to Mathematical Techniques used in GIS","publisher":"CRC Press","source":"Google Scholar","author":[{"family":"Dale","given":"Peter"}],"issued":{"date-parts":[["2004"]]}},"suppress-author":true,"suffix":":52"}],"schema":"https://github.com/citation-style-language/schema/raw/master/csl-citation.json"} </w:instrText>
      </w:r>
      <w:r>
        <w:fldChar w:fldCharType="separate"/>
      </w:r>
      <w:r w:rsidRPr="004E229A">
        <w:rPr>
          <w:rFonts w:ascii="Times New Roman" w:hAnsi="Times New Roman"/>
        </w:rPr>
        <w:t>(2004:52)</w:t>
      </w:r>
      <w:r>
        <w:fldChar w:fldCharType="end"/>
      </w:r>
      <w:r>
        <w:t xml:space="preserve"> sugiere definir vecinos utilizando la construcción geométrica conocida como polígonos de </w:t>
      </w:r>
      <w:proofErr w:type="spellStart"/>
      <w:r>
        <w:t>Thiessen</w:t>
      </w:r>
      <w:proofErr w:type="spellEnd"/>
      <w:r>
        <w:t>. La construcción genera área alrededor de cada observación espacial de manera tal que todos los puntos dentro de esta área están más cerca de la observación espacial utilizada, que a cualquier otra observación. Las observaciones son consideradas vecinas cuando comparten una frontera. En el caso del</w:t>
      </w:r>
      <w:r w:rsidR="003D7632">
        <w:t xml:space="preserve"> </w:t>
      </w:r>
      <w:r w:rsidR="003D7632" w:rsidRPr="003D7632">
        <w:rPr>
          <w:highlight w:val="yellow"/>
        </w:rPr>
        <w:fldChar w:fldCharType="begin"/>
      </w:r>
      <w:r w:rsidR="003D7632" w:rsidRPr="003D7632">
        <w:rPr>
          <w:highlight w:val="yellow"/>
        </w:rPr>
        <w:instrText xml:space="preserve"> REF _Ref5740583 \h  \* MERGEFORMAT </w:instrText>
      </w:r>
      <w:r w:rsidR="003D7632" w:rsidRPr="003D7632">
        <w:rPr>
          <w:highlight w:val="yellow"/>
        </w:rPr>
      </w:r>
      <w:r w:rsidR="003D7632" w:rsidRPr="003D7632">
        <w:rPr>
          <w:highlight w:val="yellow"/>
        </w:rPr>
        <w:fldChar w:fldCharType="separate"/>
      </w:r>
      <w:r w:rsidR="003D7632" w:rsidRPr="003D7632">
        <w:t xml:space="preserve">Gráfico </w:t>
      </w:r>
      <w:r w:rsidR="003D7632" w:rsidRPr="003D7632">
        <w:rPr>
          <w:noProof/>
        </w:rPr>
        <w:t>1</w:t>
      </w:r>
      <w:r w:rsidR="003D7632" w:rsidRPr="003D7632">
        <w:rPr>
          <w:highlight w:val="yellow"/>
        </w:rPr>
        <w:fldChar w:fldCharType="end"/>
      </w:r>
      <w:r w:rsidRPr="003D7632">
        <w:t>,</w:t>
      </w:r>
      <w:r>
        <w:t xml:space="preserve"> la observación </w:t>
      </w:r>
      <w:r w:rsidR="003D7632" w:rsidRPr="003D7632">
        <w:t>X tiene por vecinos a</w:t>
      </w:r>
      <w:r w:rsidR="003D7632">
        <w:t xml:space="preserve"> las observaciones</w:t>
      </w:r>
      <w:r w:rsidR="003D7632" w:rsidRPr="003D7632">
        <w:t xml:space="preserve"> A, B,</w:t>
      </w:r>
      <w:r w:rsidRPr="003D7632">
        <w:t xml:space="preserve"> C</w:t>
      </w:r>
      <w:r w:rsidR="003D7632">
        <w:t xml:space="preserve"> y D</w:t>
      </w:r>
      <w:r>
        <w:t>. En la matriz de distancia, por tanto, se asigna igual a uno las interacciones de X con A, B y C, y con cero las interacciones al resto de ubicaciones.</w:t>
      </w:r>
    </w:p>
    <w:p w14:paraId="79B2744E" w14:textId="63B4C834" w:rsidR="00F7414C" w:rsidRPr="003D7632" w:rsidRDefault="00F7414C" w:rsidP="003D7632">
      <w:pPr>
        <w:pStyle w:val="Descripcin"/>
        <w:keepNext/>
        <w:jc w:val="left"/>
        <w:rPr>
          <w:i w:val="0"/>
          <w:sz w:val="22"/>
          <w:szCs w:val="22"/>
        </w:rPr>
      </w:pPr>
      <w:bookmarkStart w:id="8" w:name="_Ref5740583"/>
      <w:bookmarkStart w:id="9" w:name="_Ref5740577"/>
      <w:r w:rsidRPr="003D7632">
        <w:rPr>
          <w:i w:val="0"/>
          <w:sz w:val="22"/>
          <w:szCs w:val="22"/>
        </w:rPr>
        <w:t xml:space="preserve">Gráfico </w:t>
      </w:r>
      <w:r w:rsidRPr="003D7632">
        <w:rPr>
          <w:i w:val="0"/>
          <w:sz w:val="22"/>
          <w:szCs w:val="22"/>
        </w:rPr>
        <w:fldChar w:fldCharType="begin"/>
      </w:r>
      <w:r w:rsidRPr="003D7632">
        <w:rPr>
          <w:i w:val="0"/>
          <w:sz w:val="22"/>
          <w:szCs w:val="22"/>
        </w:rPr>
        <w:instrText xml:space="preserve"> SEQ Gráfico \* ARABIC </w:instrText>
      </w:r>
      <w:r w:rsidRPr="003D7632">
        <w:rPr>
          <w:i w:val="0"/>
          <w:sz w:val="22"/>
          <w:szCs w:val="22"/>
        </w:rPr>
        <w:fldChar w:fldCharType="separate"/>
      </w:r>
      <w:r w:rsidRPr="003D7632">
        <w:rPr>
          <w:i w:val="0"/>
          <w:noProof/>
          <w:sz w:val="22"/>
          <w:szCs w:val="22"/>
        </w:rPr>
        <w:t>1</w:t>
      </w:r>
      <w:r w:rsidRPr="003D7632">
        <w:rPr>
          <w:i w:val="0"/>
          <w:sz w:val="22"/>
          <w:szCs w:val="22"/>
        </w:rPr>
        <w:fldChar w:fldCharType="end"/>
      </w:r>
      <w:bookmarkEnd w:id="8"/>
      <w:r w:rsidRPr="003D7632">
        <w:rPr>
          <w:i w:val="0"/>
          <w:sz w:val="22"/>
          <w:szCs w:val="22"/>
        </w:rPr>
        <w:t xml:space="preserve">. </w:t>
      </w:r>
      <w:bookmarkStart w:id="10" w:name="_Ref5740572"/>
      <w:r w:rsidR="003D7632" w:rsidRPr="003D7632">
        <w:rPr>
          <w:i w:val="0"/>
          <w:sz w:val="22"/>
          <w:szCs w:val="22"/>
        </w:rPr>
        <w:t xml:space="preserve">Construcción de polígonos de </w:t>
      </w:r>
      <w:proofErr w:type="spellStart"/>
      <w:r w:rsidR="003D7632" w:rsidRPr="003D7632">
        <w:rPr>
          <w:i w:val="0"/>
          <w:sz w:val="22"/>
          <w:szCs w:val="22"/>
        </w:rPr>
        <w:t>Thiessen</w:t>
      </w:r>
      <w:proofErr w:type="spellEnd"/>
      <w:r w:rsidR="003D7632" w:rsidRPr="003D7632">
        <w:rPr>
          <w:i w:val="0"/>
          <w:sz w:val="22"/>
          <w:szCs w:val="22"/>
        </w:rPr>
        <w:t xml:space="preserve"> alrededor de 20 observaciones</w:t>
      </w:r>
      <w:bookmarkEnd w:id="9"/>
      <w:bookmarkEnd w:id="10"/>
    </w:p>
    <w:p w14:paraId="0617EE07" w14:textId="1E1C37FE" w:rsidR="00944BE0" w:rsidRDefault="00F7414C" w:rsidP="003D7632">
      <w:pPr>
        <w:spacing w:after="0"/>
        <w:jc w:val="center"/>
      </w:pPr>
      <w:r>
        <w:rPr>
          <w:noProof/>
          <w:lang w:val="en-US"/>
        </w:rPr>
        <w:drawing>
          <wp:inline distT="0" distB="0" distL="0" distR="0" wp14:anchorId="22AE31E8" wp14:editId="2B989AE0">
            <wp:extent cx="3390900" cy="2585063"/>
            <wp:effectExtent l="0" t="0" r="0" b="635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1911" cy="2593457"/>
                    </a:xfrm>
                    <a:prstGeom prst="rect">
                      <a:avLst/>
                    </a:prstGeom>
                    <a:noFill/>
                    <a:ln>
                      <a:noFill/>
                    </a:ln>
                  </pic:spPr>
                </pic:pic>
              </a:graphicData>
            </a:graphic>
          </wp:inline>
        </w:drawing>
      </w:r>
    </w:p>
    <w:p w14:paraId="3B9CCBDD" w14:textId="326A608D" w:rsidR="003D7632" w:rsidRPr="003D7632" w:rsidRDefault="003D7632" w:rsidP="003D7632">
      <w:pPr>
        <w:spacing w:after="120" w:line="240" w:lineRule="auto"/>
        <w:jc w:val="left"/>
        <w:rPr>
          <w:sz w:val="18"/>
          <w:szCs w:val="18"/>
        </w:rPr>
      </w:pPr>
      <w:r w:rsidRPr="003D7632">
        <w:rPr>
          <w:sz w:val="18"/>
          <w:szCs w:val="18"/>
        </w:rPr>
        <w:t>Fuente: Elaboración propia, 2019</w:t>
      </w:r>
    </w:p>
    <w:p w14:paraId="0D9B6B45" w14:textId="0F5CE2FA" w:rsidR="00A91D92" w:rsidRDefault="00A91D92" w:rsidP="002C12C7">
      <w:pPr>
        <w:pStyle w:val="Ttulo1"/>
      </w:pPr>
      <w:r>
        <w:lastRenderedPageBreak/>
        <w:t>Mercado de combustibles líquidos en Lima Metropolitana</w:t>
      </w:r>
    </w:p>
    <w:p w14:paraId="7388D270" w14:textId="28114B66" w:rsidR="00AE7D0B" w:rsidRDefault="00AE7D0B" w:rsidP="00AE7D0B">
      <w:commentRangeStart w:id="11"/>
      <w:r>
        <w:t xml:space="preserve">El mercado </w:t>
      </w:r>
      <w:commentRangeEnd w:id="11"/>
      <w:r w:rsidR="00103A41">
        <w:rPr>
          <w:rStyle w:val="Refdecomentario"/>
        </w:rPr>
        <w:commentReference w:id="11"/>
      </w:r>
      <w:r>
        <w:t xml:space="preserve">de combustible peruano tiene particularidades que lo diferencian de los países desarrollados en donde se han llevado los estudios revisados en el Capítulo II. En el caso de Perú, solo se cuenta con dos productores de combustibles y dos refinerías principales que abastecen el XX% de los requerimientos del diésel y YY% de la demanda de gasolina en el país. </w:t>
      </w:r>
      <w:r w:rsidR="000B0CED">
        <w:t xml:space="preserve">La capacidad total de refinación en el país alcanza XX barriles por día con una importación de YY barriles por día siendo el principal suministrador el </w:t>
      </w:r>
      <w:r w:rsidR="000B0CED" w:rsidRPr="00180658">
        <w:rPr>
          <w:highlight w:val="yellow"/>
        </w:rPr>
        <w:t>país tal</w:t>
      </w:r>
      <w:r w:rsidR="00180658" w:rsidRPr="00180658">
        <w:rPr>
          <w:highlight w:val="yellow"/>
        </w:rPr>
        <w:t xml:space="preserve"> </w:t>
      </w:r>
      <w:r w:rsidR="000B0CED" w:rsidRPr="00180658">
        <w:rPr>
          <w:highlight w:val="yellow"/>
        </w:rPr>
        <w:t>cual</w:t>
      </w:r>
      <w:r w:rsidR="000B0CED">
        <w:t xml:space="preserve">. </w:t>
      </w:r>
      <w:r>
        <w:t xml:space="preserve">El resto de combustible es importado en su mayoría por los mismos productores, con un Z% de un tercer importador. </w:t>
      </w:r>
      <w:r w:rsidR="000B0CED">
        <w:t>Los dos productores de combustibles son Refinería La Pampilla, perteneciente al grupo español Repsol y la petrolera estatal Petróleos del Perú (PETROPERU).</w:t>
      </w:r>
    </w:p>
    <w:p w14:paraId="2EB206EF" w14:textId="77777777" w:rsidR="00130F8F" w:rsidRDefault="00180658" w:rsidP="00130F8F">
      <w:r>
        <w:t xml:space="preserve">Las dos refinerías actúan como mayoristas en adición a vender combustible a PECSA y Primax, además de vender combustible a los otros dos mayoristas en el mercado que no cuentan con producción propia. En el caso de Refinería La Pampilla, actúa a través de su brazo comercial RECOSAC y opera directamente el tanto % de las estaciones de Lima Metropolitana, en tanto </w:t>
      </w:r>
      <w:commentRangeStart w:id="12"/>
      <w:r>
        <w:t xml:space="preserve">que Petroperú vende directamente combustible </w:t>
      </w:r>
      <w:commentRangeEnd w:id="12"/>
      <w:r>
        <w:rPr>
          <w:rStyle w:val="Refdecomentario"/>
        </w:rPr>
        <w:commentReference w:id="12"/>
      </w:r>
      <w:r>
        <w:t>sin operar ninguna estaci</w:t>
      </w:r>
      <w:r w:rsidR="004F75F4">
        <w:t xml:space="preserve">ón propia. </w:t>
      </w:r>
      <w:r w:rsidR="00130F8F">
        <w:t>y solo abanderada estaciones a las cuales llega acuerdos para utilización de marca. De esta manera, Repsol es el único productor que está integrado desde la producción del combustible hasta su venta al consumidor final, siendo este esquema de integración vertical común en los países desarrollados.</w:t>
      </w:r>
    </w:p>
    <w:p w14:paraId="4462978F" w14:textId="4E8E1EB4" w:rsidR="000B0CED" w:rsidRDefault="000B0CED" w:rsidP="00AE7D0B">
      <w:r>
        <w:t xml:space="preserve">A nivel minorista, la mayoría de estaciones de marca son abanderadas, es decir, no </w:t>
      </w:r>
      <w:r w:rsidR="00180658">
        <w:t xml:space="preserve">son propiedad directa de los mayoristas. Estas estaciones compiten </w:t>
      </w:r>
      <w:r w:rsidR="00105ABA">
        <w:t xml:space="preserve">entre sí y </w:t>
      </w:r>
      <w:r w:rsidR="00180658">
        <w:t>con estaciones independientes que generalmente cobran menores precios</w:t>
      </w:r>
      <w:r w:rsidR="004F75F4">
        <w:t xml:space="preserve"> </w:t>
      </w:r>
      <w:r w:rsidR="004F75F4" w:rsidRPr="004F75F4">
        <w:rPr>
          <w:highlight w:val="yellow"/>
        </w:rPr>
        <w:t>(ver tabla tal)</w:t>
      </w:r>
      <w:r w:rsidR="00105ABA">
        <w:t>, siendo estas últimas las de mayor presencia</w:t>
      </w:r>
      <w:r w:rsidR="00180658">
        <w:t xml:space="preserve">. Repsol </w:t>
      </w:r>
      <w:r w:rsidR="00105ABA">
        <w:t xml:space="preserve">es el privado con </w:t>
      </w:r>
      <w:r w:rsidR="00180658">
        <w:t xml:space="preserve">mayor participación en el mercado minorista, seguido por Primax y Pecsa, </w:t>
      </w:r>
      <w:r w:rsidR="004F75F4">
        <w:t xml:space="preserve">tal como se observa </w:t>
      </w:r>
      <w:r w:rsidR="004F75F4" w:rsidRPr="004F75F4">
        <w:rPr>
          <w:highlight w:val="yellow"/>
        </w:rPr>
        <w:t>en la tabla tal</w:t>
      </w:r>
      <w:r w:rsidR="00105ABA">
        <w:t>. Este orden se repite si consideramos el número de estaciones abanderadas por cada firma.</w:t>
      </w:r>
    </w:p>
    <w:p w14:paraId="3D3CC1D9" w14:textId="1C734A47" w:rsidR="00091768" w:rsidRDefault="00091768" w:rsidP="00AE7D0B">
      <w:r>
        <w:t>En total se cuentan con XX estaciones de servicios en el Perú, de las cuales YY están localizadas en Lima Metropolitana</w:t>
      </w:r>
    </w:p>
    <w:p w14:paraId="2116A64C" w14:textId="6C4106EF" w:rsidR="00091768" w:rsidRDefault="00091768" w:rsidP="00AE7D0B">
      <w:r>
        <w:lastRenderedPageBreak/>
        <w:t>Con respecto a los precios, podemos observar diferencias entre los precios promedio por distritos y dispersión con respecto al precio del combustible para cada distrito.</w:t>
      </w:r>
    </w:p>
    <w:p w14:paraId="6163D451" w14:textId="7E272EC9" w:rsidR="000B0CED" w:rsidRPr="00AE7D0B" w:rsidRDefault="000B0CED" w:rsidP="00AE7D0B"/>
    <w:p w14:paraId="468851AB" w14:textId="77777777" w:rsidR="00067D45" w:rsidRDefault="00067D45" w:rsidP="00F57A1B">
      <w:r>
        <w:br w:type="page"/>
      </w:r>
    </w:p>
    <w:p w14:paraId="1E6EE31A" w14:textId="0CAA8FB9" w:rsidR="001D7AC0" w:rsidRDefault="001D7AC0" w:rsidP="000D15A3">
      <w:pPr>
        <w:pStyle w:val="Ttulo1"/>
      </w:pPr>
      <w:r w:rsidRPr="000D15A3">
        <w:lastRenderedPageBreak/>
        <w:t>Metodología</w:t>
      </w:r>
    </w:p>
    <w:p w14:paraId="69ECB78C" w14:textId="132EA587" w:rsidR="00B55601" w:rsidRDefault="00B55601" w:rsidP="000D15A3">
      <w:pPr>
        <w:pStyle w:val="Ttulo2"/>
      </w:pPr>
      <w:r>
        <w:t>Datos utilizados</w:t>
      </w:r>
    </w:p>
    <w:p w14:paraId="7F90E702" w14:textId="6E961E0C" w:rsidR="006C6160" w:rsidRDefault="00445710" w:rsidP="006C6160">
      <w:r>
        <w:rPr>
          <w:noProof/>
          <w:lang w:val="en-US"/>
        </w:rPr>
        <mc:AlternateContent>
          <mc:Choice Requires="wps">
            <w:drawing>
              <wp:anchor distT="45720" distB="45720" distL="114300" distR="114300" simplePos="0" relativeHeight="251665408" behindDoc="0" locked="0" layoutInCell="1" allowOverlap="1" wp14:anchorId="7E030C3C" wp14:editId="422B03E9">
                <wp:simplePos x="0" y="0"/>
                <wp:positionH relativeFrom="column">
                  <wp:posOffset>939800</wp:posOffset>
                </wp:positionH>
                <wp:positionV relativeFrom="paragraph">
                  <wp:posOffset>1462405</wp:posOffset>
                </wp:positionV>
                <wp:extent cx="3114675" cy="1838325"/>
                <wp:effectExtent l="0" t="0" r="28575" b="28575"/>
                <wp:wrapTopAndBottom/>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838325"/>
                        </a:xfrm>
                        <a:prstGeom prst="rect">
                          <a:avLst/>
                        </a:prstGeom>
                        <a:solidFill>
                          <a:srgbClr val="FFFFFF"/>
                        </a:solidFill>
                        <a:ln w="9525">
                          <a:solidFill>
                            <a:srgbClr val="000000"/>
                          </a:solidFill>
                          <a:miter lim="800000"/>
                          <a:headEnd/>
                          <a:tailEnd/>
                        </a:ln>
                      </wps:spPr>
                      <wps:txbx>
                        <w:txbxContent>
                          <w:p w14:paraId="639BE264" w14:textId="6536C39B" w:rsidR="000F00BA" w:rsidRDefault="000F00BA">
                            <w:r>
                              <w:t>Gráfica de estaciones en lima metropolitana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030C3C" id="_x0000_s1027" type="#_x0000_t202" style="position:absolute;left:0;text-align:left;margin-left:74pt;margin-top:115.15pt;width:245.25pt;height:144.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">
                <v:textbox>
                  <w:txbxContent>
                    <w:p w14:paraId="639BE264" w14:textId="6536C39B" w:rsidR="000F00BA" w:rsidRDefault="000F00BA">
                      <w:r>
                        <w:t>Gráfica de estaciones en lima metropolitana</w:t>
                      </w:r>
                    </w:p>
                  </w:txbxContent>
                </v:textbox>
                <w10:wrap type="topAndBottom"/>
              </v:shape>
            </w:pict>
          </mc:Fallback>
        </mc:AlternateContent>
      </w:r>
      <w:r w:rsidR="006C6160">
        <w:t>La fuente primaria de datos para este trabajo consiste la base de datos del portal Facilito de Organismo Regulador para la A (OSINERGMIN). La base de datos contiene todos los precios reportados por las estaciones de servicio de Lima Metropolitana para los años 2017 y 2018</w:t>
      </w:r>
      <w:r>
        <w:t>, además la dirección física y distrito de ubicación</w:t>
      </w:r>
      <w:r w:rsidR="006C6160">
        <w:t>. En adición, se recolectó información sobre las coordenadas geográficas</w:t>
      </w:r>
      <w:r>
        <w:t xml:space="preserve">, marca visible y </w:t>
      </w:r>
      <w:r w:rsidR="006C6160">
        <w:t xml:space="preserve">características </w:t>
      </w:r>
      <w:r>
        <w:t xml:space="preserve">adicionales </w:t>
      </w:r>
      <w:r w:rsidR="006C6160">
        <w:t xml:space="preserve">para XX estaciones. </w:t>
      </w:r>
      <w:r w:rsidR="00197033">
        <w:t xml:space="preserve">Tantas observaciones tenían información incompleta o direcciones erróneas por lo que la muestra.  </w:t>
      </w:r>
    </w:p>
    <w:p w14:paraId="6988606B" w14:textId="07087C03" w:rsidR="00445710" w:rsidRDefault="00445710" w:rsidP="00445710">
      <w:r>
        <w:t xml:space="preserve">A cada estación se le añadió información sobre potenciales determinantes de la demanda del distrito en el cual se ubican. Las variables utilizadas para el control de demanda localizada son el ingreso familiar per cápita del distrito, densidad de población. </w:t>
      </w:r>
    </w:p>
    <w:p w14:paraId="6B8A31E4" w14:textId="63EA9323" w:rsidR="00445710" w:rsidRDefault="00445710" w:rsidP="00213DE0">
      <w:pPr>
        <w:pStyle w:val="Ttulo2"/>
      </w:pPr>
      <w:r>
        <w:t>Definición de mercados</w:t>
      </w:r>
    </w:p>
    <w:p w14:paraId="391B8A7F" w14:textId="15DCEFB2" w:rsidR="00213DE0" w:rsidRDefault="00213DE0" w:rsidP="00213DE0">
      <w:r>
        <w:t xml:space="preserve">Para la definición de mercados, se puede realizar a nivel de jurisdiccional de distritos o municipalidades </w:t>
      </w:r>
      <w:r>
        <w:fldChar w:fldCharType="begin"/>
      </w:r>
      <w:r>
        <w:instrText xml:space="preserve"> ADDIN ZOTERO_ITEM CSL_CITATION {"citationID":"kKj0Zza7","properties":{"formattedCitation":"(Clemenz &amp; Gugler, 2006)","plainCitation":"(Clemenz &amp; Gugler, 2006)","noteIndex":0},"citationItems":[{"id":874,"uris":["http://zotero.org/groups/2269288/items/Q9SNCJ9N"],"uri":["http://zotero.org/groups/2269288/items/Q9SNCJ9N"],"itemData":{"id":874,"type":"article-journal","title":"Locational choice and price competition: some empirical results for the austrian retail gasoline market","container-title":"Empirical Economics","page":"291-312","volume":"31","issue":"2","source":"Crossref","abstract":"Using data from the Austrian retail gasoline market we find that a higher station density reduces average prices. Market (i.e. ownership) concentration does not significantly affect average price, however is negatively related to the density of stations. Estimation of the pricing and entry equations as simultaneous equations does not alter our conclusions, and suggests causality running from station density to price. We argue that the spatial dimension of markets allows the identification of market conduct, which is particularly relevant for competition policy.","URL":"http://link.springer.com/10.1007/s00181-005-0016-7","DOI":"10.1007/s00181-005-0016-7","ISSN":"0377-7332, 1435-8921","shortTitle":"Locational choice and price competition","language":"en","author":[{"family":"Clemenz","given":"Gerhard"},{"family":"Gugler","given":"Klaus"}],"issued":{"date-parts":[["2006",6]]},"accessed":{"date-parts":[["2019",2,3]]}}}],"schema":"https://github.com/citation-style-language/schema/raw/master/csl-citation.json"} </w:instrText>
      </w:r>
      <w:r>
        <w:fldChar w:fldCharType="separate"/>
      </w:r>
      <w:r w:rsidRPr="00213DE0">
        <w:rPr>
          <w:rFonts w:ascii="Times New Roman" w:hAnsi="Times New Roman"/>
        </w:rPr>
        <w:t>(Clemenz &amp; Gugler, 2006)</w:t>
      </w:r>
      <w:r>
        <w:fldChar w:fldCharType="end"/>
      </w:r>
      <w:r>
        <w:t xml:space="preserve"> o dibujando círculos alrededor de cada observación </w:t>
      </w:r>
      <w:r>
        <w:fldChar w:fldCharType="begin"/>
      </w:r>
      <w:r>
        <w:instrText xml:space="preserve"> ADDIN ZOTERO_ITEM CSL_CITATION {"citationID":"8hH34IGh","properties":{"formattedCitation":"(Pennerstorfer, 2009)","plainCitation":"(Pennerstorfer, 2009)","noteIndex":0},"citationI</w:instrText>
      </w:r>
      <w:r w:rsidRPr="00213DE0">
        <w:instrText>tems":[{"id":800,"uris":["http://zotero.org/groups/2269288/items/5RPKGMCF"],"uri":["http://zotero.org/groups/2269288/items/5RPKGMCF"],"itemData":{"id":800,"type":"article-journal","title":"Spatial price competition in retail gasoline markets: evidence from Austria","container-title":"The Annals of Regional Science","page":"133-158","volume":"43","issue":"1","source":"Crossref","abstract":"This paper investigates the in</w:instrText>
      </w:r>
      <w:r>
        <w:instrText>ﬂ</w:instrText>
      </w:r>
      <w:r w:rsidRPr="00213DE0">
        <w:instrText>uence of unbranded stations on the prices charged by branded stations in the retail gasoline sector, using data on 400 stations in Lower Austria. As the market is characterized by spatial competition, a spatial lag model is used to avoid misspeci</w:instrText>
      </w:r>
      <w:r>
        <w:instrText>ﬁ</w:instrText>
      </w:r>
      <w:r w:rsidRPr="00213DE0">
        <w:instrText>cation. The results show that independent retailers generally heighten price competition, as they charge significantly lower prices. At the same time, as consumers might consider gasoline sold at unbranded stations to be inferior, they also reduce price competition for branded stations. Independents therefore ultimately have only a small in</w:instrText>
      </w:r>
      <w:r>
        <w:instrText>ﬂ</w:instrText>
      </w:r>
      <w:r w:rsidRPr="00213DE0">
        <w:instrText xml:space="preserve">uence on the prices charged by branded stations.","URL":"http://link.springer.com/10.1007/s00168-007-0206-7","DOI":"10.1007/s00168-007-0206-7","ISSN":"0570-1864, 1432-0592","shortTitle":"Spatial price competition in retail gasoline markets","language":"en","author":[{"family":"Pennerstorfer","given":"Dieter"}],"issued":{"date-parts":[["2009",3]]},"accessed":{"date-parts":[["2018",12,22]]}}}],"schema":"https://github.com/citation-style-language/schema/raw/master/csl-citation.json"} </w:instrText>
      </w:r>
      <w:r>
        <w:fldChar w:fldCharType="separate"/>
      </w:r>
      <w:r w:rsidRPr="00213DE0">
        <w:rPr>
          <w:rFonts w:ascii="Times New Roman" w:hAnsi="Times New Roman"/>
        </w:rPr>
        <w:t>(Pennerstorfer, 2009)</w:t>
      </w:r>
      <w:r>
        <w:fldChar w:fldCharType="end"/>
      </w:r>
      <w:r>
        <w:t xml:space="preserve">. Para este trabajo, se considera polígonos </w:t>
      </w:r>
      <w:proofErr w:type="spellStart"/>
      <w:r>
        <w:t>Thiessen</w:t>
      </w:r>
      <w:proofErr w:type="spellEnd"/>
      <w:r>
        <w:t xml:space="preserve"> para definir las zonas de influencia </w:t>
      </w:r>
      <w:r w:rsidR="00197033">
        <w:t xml:space="preserve">de cada estación y sus respectivas estaciones colindantes, tal como se muestra en la </w:t>
      </w:r>
      <w:r w:rsidR="00197033" w:rsidRPr="00197033">
        <w:rPr>
          <w:highlight w:val="yellow"/>
        </w:rPr>
        <w:t>figura xx</w:t>
      </w:r>
      <w:r w:rsidR="00197033">
        <w:t xml:space="preserve">. De esta manera la estación mostrada compite directamente con las x estaciones que la rodean y son las que reciben el valor igual a uno en la respectiva matriz de ponderación </w:t>
      </w:r>
      <m:oMath>
        <m:r>
          <w:rPr>
            <w:rFonts w:ascii="Cambria Math" w:hAnsi="Cambria Math"/>
          </w:rPr>
          <m:t>W</m:t>
        </m:r>
      </m:oMath>
      <w:r w:rsidR="00197033">
        <w:t xml:space="preserve">. Esta construcción tiene la ventaja de utilizar la ubicación real de cada estación en relación al resto para definir los límites de cada mercado, mientras que al alternativas anteriores solo consideran el </w:t>
      </w:r>
      <w:r w:rsidR="00197033">
        <w:lastRenderedPageBreak/>
        <w:t xml:space="preserve">número de competidores en un área predefinida por un círculo predefinido arbitrariamente para </w:t>
      </w:r>
      <w:r w:rsidR="00197033">
        <w:rPr>
          <w:noProof/>
          <w:lang w:val="en-US"/>
        </w:rPr>
        <mc:AlternateContent>
          <mc:Choice Requires="wps">
            <w:drawing>
              <wp:anchor distT="45720" distB="45720" distL="114300" distR="114300" simplePos="0" relativeHeight="251667456" behindDoc="0" locked="0" layoutInCell="1" allowOverlap="1" wp14:anchorId="69BEF8FB" wp14:editId="44C4DB48">
                <wp:simplePos x="0" y="0"/>
                <wp:positionH relativeFrom="column">
                  <wp:posOffset>409575</wp:posOffset>
                </wp:positionH>
                <wp:positionV relativeFrom="paragraph">
                  <wp:posOffset>784225</wp:posOffset>
                </wp:positionV>
                <wp:extent cx="3114675" cy="1838325"/>
                <wp:effectExtent l="0" t="0" r="28575" b="28575"/>
                <wp:wrapTopAndBottom/>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1838325"/>
                        </a:xfrm>
                        <a:prstGeom prst="rect">
                          <a:avLst/>
                        </a:prstGeom>
                        <a:solidFill>
                          <a:srgbClr val="FFFFFF"/>
                        </a:solidFill>
                        <a:ln w="9525">
                          <a:solidFill>
                            <a:srgbClr val="000000"/>
                          </a:solidFill>
                          <a:miter lim="800000"/>
                          <a:headEnd/>
                          <a:tailEnd/>
                        </a:ln>
                      </wps:spPr>
                      <wps:txbx>
                        <w:txbxContent>
                          <w:p w14:paraId="17F2EF8D" w14:textId="330A3A79" w:rsidR="000F00BA" w:rsidRDefault="000F00BA" w:rsidP="00197033">
                            <w:r>
                              <w:t xml:space="preserve">Estación con gráfico </w:t>
                            </w:r>
                            <w:proofErr w:type="spellStart"/>
                            <w:r>
                              <w:t>Thiessen</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BEF8FB" id="Cuadro de texto 3" o:spid="_x0000_s1028" type="#_x0000_t202" style="position:absolute;left:0;text-align:left;margin-left:32.25pt;margin-top:61.75pt;width:245.25pt;height:14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">
                <v:textbox>
                  <w:txbxContent>
                    <w:p w14:paraId="17F2EF8D" w14:textId="330A3A79" w:rsidR="000F00BA" w:rsidRDefault="000F00BA" w:rsidP="00197033">
                      <w:r>
                        <w:t xml:space="preserve">Estación con gráfico </w:t>
                      </w:r>
                      <w:proofErr w:type="spellStart"/>
                      <w:r>
                        <w:t>Thiessen</w:t>
                      </w:r>
                      <w:proofErr w:type="spellEnd"/>
                    </w:p>
                  </w:txbxContent>
                </v:textbox>
                <w10:wrap type="topAndBottom"/>
              </v:shape>
            </w:pict>
          </mc:Fallback>
        </mc:AlternateContent>
      </w:r>
      <w:r w:rsidR="00197033">
        <w:t>toda la muestra.</w:t>
      </w:r>
    </w:p>
    <w:p w14:paraId="5BCF3928" w14:textId="51186BF1" w:rsidR="00197033" w:rsidRDefault="00197033" w:rsidP="00197033">
      <w:pPr>
        <w:pStyle w:val="Ttulo2"/>
      </w:pPr>
      <w:r>
        <w:t>Definición de variables</w:t>
      </w:r>
    </w:p>
    <w:p w14:paraId="25CAA792" w14:textId="77777777" w:rsidR="005526A5" w:rsidRDefault="006507EA" w:rsidP="006507EA">
      <w:pPr>
        <w:pStyle w:val="Prrafodelista"/>
        <w:numPr>
          <w:ilvl w:val="0"/>
          <w:numId w:val="25"/>
        </w:numPr>
      </w:pPr>
      <w:r>
        <w:t>Tipo de combustible</w:t>
      </w:r>
      <w:r w:rsidR="005526A5">
        <w:t>: Es el combustible analizado para la regresión. Para el estudio solo se consideran los dos combustibles con más ventas en el país, gasohol 90 octanos y diésel B5 S-50</w:t>
      </w:r>
      <w:r w:rsidR="005526A5">
        <w:rPr>
          <w:rStyle w:val="Refdenotaalpie"/>
        </w:rPr>
        <w:footnoteReference w:id="2"/>
      </w:r>
      <w:r w:rsidR="005526A5">
        <w:t>.</w:t>
      </w:r>
    </w:p>
    <w:p w14:paraId="30F1CC5A" w14:textId="03EED2B2" w:rsidR="006507EA" w:rsidRDefault="006507EA" w:rsidP="006507EA">
      <w:pPr>
        <w:pStyle w:val="Prrafodelista"/>
        <w:numPr>
          <w:ilvl w:val="0"/>
          <w:numId w:val="25"/>
        </w:numPr>
      </w:pPr>
      <w:r>
        <w:t>Precio de combustible</w:t>
      </w:r>
      <w:r w:rsidR="005526A5">
        <w:t xml:space="preserve">: Es el precio promedio mensual registrado por la estación de servicio, medido en soles por galón. </w:t>
      </w:r>
    </w:p>
    <w:p w14:paraId="7C15ADE2" w14:textId="7F713BE4" w:rsidR="005526A5" w:rsidRDefault="005526A5" w:rsidP="006507EA">
      <w:pPr>
        <w:pStyle w:val="Prrafodelista"/>
        <w:numPr>
          <w:ilvl w:val="0"/>
          <w:numId w:val="25"/>
        </w:numPr>
      </w:pPr>
      <w:r>
        <w:t>Tipo de estación: Indica la combinación entre la propiedad de la bandera y la marca que muestra. De esta manera, puede tomar siete valores: Independiente, abanderada Petroperú, abanderada Pecsa, abanderada Primax, abanderada Repsol, propia Pecsa, propia Primax y propia Repsol.</w:t>
      </w:r>
    </w:p>
    <w:p w14:paraId="36139E86" w14:textId="30F9A256" w:rsidR="005526A5" w:rsidRDefault="007A3BA0" w:rsidP="006507EA">
      <w:pPr>
        <w:pStyle w:val="Prrafodelista"/>
        <w:numPr>
          <w:ilvl w:val="0"/>
          <w:numId w:val="25"/>
        </w:numPr>
      </w:pPr>
      <w:r>
        <w:t>A</w:t>
      </w:r>
      <w:r w:rsidR="005526A5">
        <w:t>grupamiento espacial:</w:t>
      </w:r>
      <w:r>
        <w:t xml:space="preserve"> Es una medida del grado de competencia entre firmas rivales que existe en un mercado. </w:t>
      </w:r>
      <w:r w:rsidR="00497B45">
        <w:t>La medida fue descrita en el apartado teórico.</w:t>
      </w:r>
    </w:p>
    <w:p w14:paraId="2221E8B4" w14:textId="08C13242" w:rsidR="007A3BA0" w:rsidRDefault="007A3BA0" w:rsidP="006507EA">
      <w:pPr>
        <w:pStyle w:val="Prrafodelista"/>
        <w:numPr>
          <w:ilvl w:val="0"/>
          <w:numId w:val="25"/>
        </w:numPr>
      </w:pPr>
      <w:r>
        <w:t xml:space="preserve">Distancia al rival más cercano: Distancia en kilómetros a la estación de combustible más cercana. </w:t>
      </w:r>
    </w:p>
    <w:p w14:paraId="76B1CAD1" w14:textId="0AA0131E" w:rsidR="002E0259" w:rsidRDefault="002E0259" w:rsidP="006507EA">
      <w:pPr>
        <w:pStyle w:val="Prrafodelista"/>
        <w:numPr>
          <w:ilvl w:val="0"/>
          <w:numId w:val="25"/>
        </w:numPr>
      </w:pPr>
      <w:r>
        <w:t>Distancia promedio: Distancia promedio en kilómetros a las estaciones vecinas.</w:t>
      </w:r>
    </w:p>
    <w:p w14:paraId="3A0A212B" w14:textId="2449C411" w:rsidR="002E0259" w:rsidRDefault="002E0259" w:rsidP="006507EA">
      <w:pPr>
        <w:pStyle w:val="Prrafodelista"/>
        <w:numPr>
          <w:ilvl w:val="0"/>
          <w:numId w:val="25"/>
        </w:numPr>
      </w:pPr>
      <w:r>
        <w:t xml:space="preserve">Número de estaciones cercanas: Número de estaciones que se encuentran en un radio de 1.5 km de la estación </w:t>
      </w:r>
      <m:oMath>
        <m:r>
          <w:rPr>
            <w:rFonts w:ascii="Cambria Math" w:hAnsi="Cambria Math"/>
          </w:rPr>
          <m:t>i</m:t>
        </m:r>
      </m:oMath>
      <w:r>
        <w:t>.</w:t>
      </w:r>
    </w:p>
    <w:p w14:paraId="53886DF8" w14:textId="0C0FDA6E" w:rsidR="002E0259" w:rsidRDefault="002E0259" w:rsidP="006507EA">
      <w:pPr>
        <w:pStyle w:val="Prrafodelista"/>
        <w:numPr>
          <w:ilvl w:val="0"/>
          <w:numId w:val="25"/>
        </w:numPr>
      </w:pPr>
      <w:r>
        <w:lastRenderedPageBreak/>
        <w:t>Bahía de abastecimiento: Número de bahías de abastecimiento para combustibles líquidos presentes en la estación.</w:t>
      </w:r>
    </w:p>
    <w:p w14:paraId="4F50F3F5" w14:textId="479EB9D1" w:rsidR="007A3BA0" w:rsidRDefault="007A3BA0" w:rsidP="006507EA">
      <w:pPr>
        <w:pStyle w:val="Prrafodelista"/>
        <w:numPr>
          <w:ilvl w:val="0"/>
          <w:numId w:val="25"/>
        </w:numPr>
      </w:pPr>
      <w:r>
        <w:t>Lavado: Es 1 si la estación ofrece el servicio de lavado de autos, 0 si no lo hace.</w:t>
      </w:r>
    </w:p>
    <w:p w14:paraId="2F4B512E" w14:textId="1FF2AD15" w:rsidR="007A3BA0" w:rsidRDefault="007A3BA0" w:rsidP="006507EA">
      <w:pPr>
        <w:pStyle w:val="Prrafodelista"/>
        <w:numPr>
          <w:ilvl w:val="0"/>
          <w:numId w:val="25"/>
        </w:numPr>
      </w:pPr>
      <w:r>
        <w:t>Mecánico: Es 1 si la estación ofrece atención mecánica (lubricación y/o servicio de llantas) y 0 si no lo hace.</w:t>
      </w:r>
    </w:p>
    <w:p w14:paraId="3BE6BE8B" w14:textId="1316372C" w:rsidR="007A3BA0" w:rsidRDefault="007A3BA0" w:rsidP="006507EA">
      <w:pPr>
        <w:pStyle w:val="Prrafodelista"/>
        <w:numPr>
          <w:ilvl w:val="0"/>
          <w:numId w:val="25"/>
        </w:numPr>
      </w:pPr>
      <w:r>
        <w:t>Tienda: Es 1 si la estación cuenta con una tienda asociada y 0 si no cuenta con una.</w:t>
      </w:r>
    </w:p>
    <w:p w14:paraId="564F5392" w14:textId="0BAA690E" w:rsidR="002E0259" w:rsidRDefault="002E0259" w:rsidP="006507EA">
      <w:pPr>
        <w:pStyle w:val="Prrafodelista"/>
        <w:numPr>
          <w:ilvl w:val="0"/>
          <w:numId w:val="25"/>
        </w:numPr>
      </w:pPr>
      <w:r>
        <w:t>Cajero: Es 1 si la estación cuenta con cajero automático y 0 si no cuenta con uno.</w:t>
      </w:r>
    </w:p>
    <w:p w14:paraId="0D9751CC" w14:textId="28F14E7F" w:rsidR="007A3BA0" w:rsidRDefault="007A3BA0" w:rsidP="006507EA">
      <w:pPr>
        <w:pStyle w:val="Prrafodelista"/>
        <w:numPr>
          <w:ilvl w:val="0"/>
          <w:numId w:val="25"/>
        </w:numPr>
      </w:pPr>
      <w:r>
        <w:t>GNV: Es 1 si la estación también vende gas natural vehicular, y 0 si no lo hace.</w:t>
      </w:r>
    </w:p>
    <w:p w14:paraId="4C5D2398" w14:textId="771D7FF1" w:rsidR="007A3BA0" w:rsidRDefault="007A3BA0" w:rsidP="006507EA">
      <w:pPr>
        <w:pStyle w:val="Prrafodelista"/>
        <w:numPr>
          <w:ilvl w:val="0"/>
          <w:numId w:val="25"/>
        </w:numPr>
      </w:pPr>
      <w:r>
        <w:t xml:space="preserve">GLP: Es 1 si la estación también vende gas </w:t>
      </w:r>
      <w:r w:rsidR="00497B45">
        <w:t>licuado de petróleo</w:t>
      </w:r>
      <w:r>
        <w:t>, y 0 si no lo hace.</w:t>
      </w:r>
    </w:p>
    <w:p w14:paraId="354F01A7" w14:textId="51D3121E" w:rsidR="00B838A8" w:rsidRDefault="00497B45" w:rsidP="00B838A8">
      <w:pPr>
        <w:pStyle w:val="Prrafodelista"/>
        <w:numPr>
          <w:ilvl w:val="0"/>
          <w:numId w:val="25"/>
        </w:numPr>
      </w:pPr>
      <w:r>
        <w:t>Densidad poblacional: Es el número de personas que vive en un distrito dividido entre el área del distrito en km</w:t>
      </w:r>
      <w:r>
        <w:rPr>
          <w:vertAlign w:val="superscript"/>
        </w:rPr>
        <w:t>2</w:t>
      </w:r>
    </w:p>
    <w:tbl>
      <w:tblPr>
        <w:tblStyle w:val="Cuadrculadetablaclara"/>
        <w:tblW w:w="0" w:type="auto"/>
        <w:tblLook w:val="04A0" w:firstRow="1" w:lastRow="0" w:firstColumn="1" w:lastColumn="0" w:noHBand="0" w:noVBand="1"/>
      </w:tblPr>
      <w:tblGrid>
        <w:gridCol w:w="1541"/>
        <w:gridCol w:w="3767"/>
        <w:gridCol w:w="766"/>
        <w:gridCol w:w="1070"/>
        <w:gridCol w:w="572"/>
        <w:gridCol w:w="777"/>
      </w:tblGrid>
      <w:tr w:rsidR="00B838A8" w:rsidRPr="00B838A8" w14:paraId="3B2F9FDC" w14:textId="77777777" w:rsidTr="000F00BA">
        <w:trPr>
          <w:trHeight w:val="20"/>
        </w:trPr>
        <w:tc>
          <w:tcPr>
            <w:tcW w:w="1561" w:type="dxa"/>
            <w:hideMark/>
          </w:tcPr>
          <w:p w14:paraId="1925E79B" w14:textId="77777777" w:rsidR="00B838A8" w:rsidRPr="0087472A" w:rsidRDefault="00B838A8" w:rsidP="00B838A8">
            <w:pPr>
              <w:spacing w:after="0" w:line="60" w:lineRule="atLeast"/>
              <w:rPr>
                <w:rFonts w:cstheme="minorHAnsi"/>
                <w:b/>
                <w:bCs/>
                <w:color w:val="444444"/>
                <w:sz w:val="20"/>
                <w:szCs w:val="20"/>
              </w:rPr>
            </w:pPr>
            <w:r w:rsidRPr="0087472A">
              <w:rPr>
                <w:rFonts w:cstheme="minorHAnsi"/>
                <w:b/>
                <w:bCs/>
                <w:color w:val="444444"/>
                <w:sz w:val="20"/>
                <w:szCs w:val="20"/>
              </w:rPr>
              <w:t>Variable</w:t>
            </w:r>
          </w:p>
        </w:tc>
        <w:tc>
          <w:tcPr>
            <w:tcW w:w="3954" w:type="dxa"/>
            <w:hideMark/>
          </w:tcPr>
          <w:p w14:paraId="5E32E1C6" w14:textId="77777777" w:rsidR="00B838A8" w:rsidRPr="0087472A" w:rsidRDefault="00B838A8" w:rsidP="00B838A8">
            <w:pPr>
              <w:spacing w:after="0" w:line="60" w:lineRule="atLeast"/>
              <w:rPr>
                <w:rFonts w:cstheme="minorHAnsi"/>
                <w:b/>
                <w:bCs/>
                <w:color w:val="444444"/>
                <w:sz w:val="20"/>
                <w:szCs w:val="20"/>
              </w:rPr>
            </w:pPr>
            <w:r w:rsidRPr="0087472A">
              <w:rPr>
                <w:rFonts w:cstheme="minorHAnsi"/>
                <w:b/>
                <w:bCs/>
                <w:color w:val="444444"/>
                <w:sz w:val="20"/>
                <w:szCs w:val="20"/>
              </w:rPr>
              <w:t>Descripción</w:t>
            </w:r>
          </w:p>
        </w:tc>
        <w:tc>
          <w:tcPr>
            <w:tcW w:w="735" w:type="dxa"/>
            <w:hideMark/>
          </w:tcPr>
          <w:p w14:paraId="610C592C" w14:textId="77777777" w:rsidR="00B838A8" w:rsidRPr="0087472A" w:rsidRDefault="00B838A8" w:rsidP="00B838A8">
            <w:pPr>
              <w:spacing w:after="0" w:line="60" w:lineRule="atLeast"/>
              <w:jc w:val="right"/>
              <w:rPr>
                <w:rFonts w:cstheme="minorHAnsi"/>
                <w:b/>
                <w:bCs/>
                <w:color w:val="444444"/>
                <w:sz w:val="20"/>
                <w:szCs w:val="20"/>
              </w:rPr>
            </w:pPr>
            <w:r w:rsidRPr="0087472A">
              <w:rPr>
                <w:rFonts w:cstheme="minorHAnsi"/>
                <w:b/>
                <w:bCs/>
                <w:color w:val="444444"/>
                <w:sz w:val="20"/>
                <w:szCs w:val="20"/>
              </w:rPr>
              <w:t>Media</w:t>
            </w:r>
          </w:p>
        </w:tc>
        <w:tc>
          <w:tcPr>
            <w:tcW w:w="1102" w:type="dxa"/>
            <w:hideMark/>
          </w:tcPr>
          <w:p w14:paraId="31C5CA92" w14:textId="77777777" w:rsidR="00B838A8" w:rsidRPr="0087472A" w:rsidRDefault="00B838A8" w:rsidP="00B838A8">
            <w:pPr>
              <w:spacing w:after="0" w:line="60" w:lineRule="atLeast"/>
              <w:jc w:val="right"/>
              <w:rPr>
                <w:rFonts w:cstheme="minorHAnsi"/>
                <w:b/>
                <w:bCs/>
                <w:color w:val="444444"/>
                <w:sz w:val="20"/>
                <w:szCs w:val="20"/>
              </w:rPr>
            </w:pPr>
            <w:r w:rsidRPr="0087472A">
              <w:rPr>
                <w:rFonts w:cstheme="minorHAnsi"/>
                <w:b/>
                <w:bCs/>
                <w:color w:val="444444"/>
                <w:sz w:val="20"/>
                <w:szCs w:val="20"/>
              </w:rPr>
              <w:t xml:space="preserve">Des. </w:t>
            </w:r>
            <w:proofErr w:type="spellStart"/>
            <w:r w:rsidRPr="0087472A">
              <w:rPr>
                <w:rFonts w:cstheme="minorHAnsi"/>
                <w:b/>
                <w:bCs/>
                <w:color w:val="444444"/>
                <w:sz w:val="20"/>
                <w:szCs w:val="20"/>
              </w:rPr>
              <w:t>Est</w:t>
            </w:r>
            <w:proofErr w:type="spellEnd"/>
          </w:p>
        </w:tc>
        <w:tc>
          <w:tcPr>
            <w:tcW w:w="360" w:type="dxa"/>
            <w:hideMark/>
          </w:tcPr>
          <w:p w14:paraId="0BF917DD" w14:textId="77777777" w:rsidR="00B838A8" w:rsidRPr="0087472A" w:rsidRDefault="00B838A8" w:rsidP="00B838A8">
            <w:pPr>
              <w:spacing w:after="0" w:line="60" w:lineRule="atLeast"/>
              <w:jc w:val="right"/>
              <w:rPr>
                <w:rFonts w:cstheme="minorHAnsi"/>
                <w:b/>
                <w:bCs/>
                <w:color w:val="444444"/>
                <w:sz w:val="20"/>
                <w:szCs w:val="20"/>
              </w:rPr>
            </w:pPr>
            <w:r w:rsidRPr="0087472A">
              <w:rPr>
                <w:rFonts w:cstheme="minorHAnsi"/>
                <w:b/>
                <w:bCs/>
                <w:color w:val="444444"/>
                <w:sz w:val="20"/>
                <w:szCs w:val="20"/>
              </w:rPr>
              <w:t>Min</w:t>
            </w:r>
          </w:p>
        </w:tc>
        <w:tc>
          <w:tcPr>
            <w:tcW w:w="590" w:type="dxa"/>
            <w:hideMark/>
          </w:tcPr>
          <w:p w14:paraId="6E151E13" w14:textId="77777777" w:rsidR="00B838A8" w:rsidRPr="0087472A" w:rsidRDefault="00B838A8" w:rsidP="00B838A8">
            <w:pPr>
              <w:spacing w:after="0" w:line="60" w:lineRule="atLeast"/>
              <w:jc w:val="right"/>
              <w:rPr>
                <w:rFonts w:cstheme="minorHAnsi"/>
                <w:b/>
                <w:bCs/>
                <w:color w:val="444444"/>
                <w:sz w:val="20"/>
                <w:szCs w:val="20"/>
              </w:rPr>
            </w:pPr>
            <w:r w:rsidRPr="0087472A">
              <w:rPr>
                <w:rFonts w:cstheme="minorHAnsi"/>
                <w:b/>
                <w:bCs/>
                <w:color w:val="444444"/>
                <w:sz w:val="20"/>
                <w:szCs w:val="20"/>
              </w:rPr>
              <w:t>Max</w:t>
            </w:r>
          </w:p>
        </w:tc>
      </w:tr>
      <w:tr w:rsidR="00B838A8" w:rsidRPr="0087472A" w14:paraId="09E0CB69" w14:textId="77777777" w:rsidTr="000F00BA">
        <w:trPr>
          <w:trHeight w:val="20"/>
        </w:trPr>
        <w:tc>
          <w:tcPr>
            <w:tcW w:w="8503" w:type="dxa"/>
            <w:gridSpan w:val="6"/>
            <w:hideMark/>
          </w:tcPr>
          <w:p w14:paraId="2D149690" w14:textId="77777777" w:rsidR="00B838A8" w:rsidRPr="0087472A" w:rsidRDefault="00B838A8" w:rsidP="00B838A8">
            <w:pPr>
              <w:spacing w:after="0" w:line="60" w:lineRule="atLeast"/>
              <w:rPr>
                <w:rFonts w:cstheme="minorHAnsi"/>
                <w:color w:val="777777"/>
                <w:sz w:val="20"/>
                <w:szCs w:val="20"/>
              </w:rPr>
            </w:pPr>
            <w:r w:rsidRPr="00B838A8">
              <w:rPr>
                <w:rFonts w:cstheme="minorHAnsi"/>
                <w:b/>
                <w:bCs/>
                <w:color w:val="777777"/>
                <w:sz w:val="20"/>
                <w:szCs w:val="20"/>
              </w:rPr>
              <w:t>Variable dependiente</w:t>
            </w:r>
          </w:p>
        </w:tc>
      </w:tr>
      <w:tr w:rsidR="00B838A8" w:rsidRPr="00B838A8" w14:paraId="43016636" w14:textId="77777777" w:rsidTr="000F00BA">
        <w:trPr>
          <w:trHeight w:val="334"/>
        </w:trPr>
        <w:tc>
          <w:tcPr>
            <w:tcW w:w="1561" w:type="dxa"/>
            <w:hideMark/>
          </w:tcPr>
          <w:p w14:paraId="0FE83E5C" w14:textId="7378BBC3" w:rsidR="00B838A8" w:rsidRPr="0087472A" w:rsidRDefault="00B838A8" w:rsidP="00E107A6">
            <w:pPr>
              <w:spacing w:after="0" w:line="60" w:lineRule="atLeast"/>
              <w:rPr>
                <w:rFonts w:cstheme="minorHAnsi"/>
                <w:color w:val="777777"/>
                <w:sz w:val="20"/>
                <w:szCs w:val="20"/>
              </w:rPr>
            </w:pPr>
            <w:r w:rsidRPr="0087472A">
              <w:rPr>
                <w:rFonts w:cstheme="minorHAnsi"/>
                <w:color w:val="777777"/>
                <w:sz w:val="20"/>
                <w:szCs w:val="20"/>
              </w:rPr>
              <w:t>P</w:t>
            </w:r>
            <w:r w:rsidR="00E107A6">
              <w:rPr>
                <w:rFonts w:cstheme="minorHAnsi"/>
                <w:color w:val="777777"/>
                <w:sz w:val="20"/>
                <w:szCs w:val="20"/>
                <w:vertAlign w:val="subscript"/>
              </w:rPr>
              <w:t xml:space="preserve">it,DB5 </w:t>
            </w:r>
          </w:p>
        </w:tc>
        <w:tc>
          <w:tcPr>
            <w:tcW w:w="3954" w:type="dxa"/>
            <w:hideMark/>
          </w:tcPr>
          <w:p w14:paraId="5BAD0046"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Precio de Diésel DB5-S50 en la estación i (soles/galón)</w:t>
            </w:r>
          </w:p>
        </w:tc>
        <w:tc>
          <w:tcPr>
            <w:tcW w:w="735" w:type="dxa"/>
            <w:hideMark/>
          </w:tcPr>
          <w:p w14:paraId="16F067C1"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11.310</w:t>
            </w:r>
          </w:p>
        </w:tc>
        <w:tc>
          <w:tcPr>
            <w:tcW w:w="1102" w:type="dxa"/>
            <w:hideMark/>
          </w:tcPr>
          <w:p w14:paraId="1FC9274A"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1.020</w:t>
            </w:r>
          </w:p>
        </w:tc>
        <w:tc>
          <w:tcPr>
            <w:tcW w:w="360" w:type="dxa"/>
            <w:hideMark/>
          </w:tcPr>
          <w:p w14:paraId="02F50300"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8.5</w:t>
            </w:r>
          </w:p>
        </w:tc>
        <w:tc>
          <w:tcPr>
            <w:tcW w:w="590" w:type="dxa"/>
            <w:hideMark/>
          </w:tcPr>
          <w:p w14:paraId="0C80C48F"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14.3</w:t>
            </w:r>
          </w:p>
        </w:tc>
      </w:tr>
      <w:tr w:rsidR="00B838A8" w:rsidRPr="00B838A8" w14:paraId="6AF99F6E" w14:textId="77777777" w:rsidTr="000F00BA">
        <w:trPr>
          <w:trHeight w:val="46"/>
        </w:trPr>
        <w:tc>
          <w:tcPr>
            <w:tcW w:w="1561" w:type="dxa"/>
            <w:hideMark/>
          </w:tcPr>
          <w:p w14:paraId="27BB024C" w14:textId="67A5A639" w:rsidR="00B838A8" w:rsidRPr="0087472A" w:rsidRDefault="00B838A8" w:rsidP="00E107A6">
            <w:pPr>
              <w:spacing w:after="0" w:line="60" w:lineRule="atLeast"/>
              <w:rPr>
                <w:rFonts w:cstheme="minorHAnsi"/>
                <w:color w:val="777777"/>
                <w:sz w:val="20"/>
                <w:szCs w:val="20"/>
              </w:rPr>
            </w:pPr>
            <w:r w:rsidRPr="0087472A">
              <w:rPr>
                <w:rFonts w:cstheme="minorHAnsi"/>
                <w:color w:val="777777"/>
                <w:sz w:val="20"/>
                <w:szCs w:val="20"/>
              </w:rPr>
              <w:t>P</w:t>
            </w:r>
            <w:r w:rsidR="00E107A6">
              <w:rPr>
                <w:rFonts w:cstheme="minorHAnsi"/>
                <w:color w:val="777777"/>
                <w:sz w:val="20"/>
                <w:szCs w:val="20"/>
                <w:vertAlign w:val="subscript"/>
              </w:rPr>
              <w:t>it,G90</w:t>
            </w:r>
          </w:p>
        </w:tc>
        <w:tc>
          <w:tcPr>
            <w:tcW w:w="3954" w:type="dxa"/>
            <w:hideMark/>
          </w:tcPr>
          <w:p w14:paraId="4C53DC40"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Precio de Gasohol 90 en la estación i (soles/galón)</w:t>
            </w:r>
          </w:p>
        </w:tc>
        <w:tc>
          <w:tcPr>
            <w:tcW w:w="735" w:type="dxa"/>
            <w:hideMark/>
          </w:tcPr>
          <w:p w14:paraId="48355765"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11.579</w:t>
            </w:r>
          </w:p>
        </w:tc>
        <w:tc>
          <w:tcPr>
            <w:tcW w:w="1102" w:type="dxa"/>
            <w:hideMark/>
          </w:tcPr>
          <w:p w14:paraId="416696DB"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0.881</w:t>
            </w:r>
          </w:p>
        </w:tc>
        <w:tc>
          <w:tcPr>
            <w:tcW w:w="360" w:type="dxa"/>
            <w:hideMark/>
          </w:tcPr>
          <w:p w14:paraId="17B62F3F"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9.0</w:t>
            </w:r>
          </w:p>
        </w:tc>
        <w:tc>
          <w:tcPr>
            <w:tcW w:w="590" w:type="dxa"/>
            <w:hideMark/>
          </w:tcPr>
          <w:p w14:paraId="433F35A4"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14.4</w:t>
            </w:r>
          </w:p>
        </w:tc>
      </w:tr>
      <w:tr w:rsidR="00B838A8" w:rsidRPr="0087472A" w14:paraId="3B75C3E7" w14:textId="77777777" w:rsidTr="000F00BA">
        <w:trPr>
          <w:trHeight w:val="20"/>
        </w:trPr>
        <w:tc>
          <w:tcPr>
            <w:tcW w:w="8503" w:type="dxa"/>
            <w:gridSpan w:val="6"/>
            <w:hideMark/>
          </w:tcPr>
          <w:p w14:paraId="05662A69" w14:textId="77777777" w:rsidR="00B838A8" w:rsidRPr="0087472A" w:rsidRDefault="00B838A8" w:rsidP="00B838A8">
            <w:pPr>
              <w:spacing w:after="0" w:line="60" w:lineRule="atLeast"/>
              <w:rPr>
                <w:rFonts w:cstheme="minorHAnsi"/>
                <w:color w:val="777777"/>
                <w:sz w:val="20"/>
                <w:szCs w:val="20"/>
              </w:rPr>
            </w:pPr>
            <w:r w:rsidRPr="00B838A8">
              <w:rPr>
                <w:rFonts w:cstheme="minorHAnsi"/>
                <w:b/>
                <w:bCs/>
                <w:color w:val="777777"/>
                <w:sz w:val="20"/>
                <w:szCs w:val="20"/>
              </w:rPr>
              <w:t>Características espaciales</w:t>
            </w:r>
          </w:p>
        </w:tc>
      </w:tr>
      <w:tr w:rsidR="00B838A8" w:rsidRPr="00B838A8" w14:paraId="4C1F0BBA" w14:textId="77777777" w:rsidTr="000F00BA">
        <w:trPr>
          <w:trHeight w:val="20"/>
        </w:trPr>
        <w:tc>
          <w:tcPr>
            <w:tcW w:w="1561" w:type="dxa"/>
            <w:hideMark/>
          </w:tcPr>
          <w:p w14:paraId="2FE952E1"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SC</w:t>
            </w:r>
          </w:p>
        </w:tc>
        <w:tc>
          <w:tcPr>
            <w:tcW w:w="3954" w:type="dxa"/>
            <w:hideMark/>
          </w:tcPr>
          <w:p w14:paraId="251D530A"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Agrupamiento espacial</w:t>
            </w:r>
          </w:p>
        </w:tc>
        <w:tc>
          <w:tcPr>
            <w:tcW w:w="735" w:type="dxa"/>
            <w:hideMark/>
          </w:tcPr>
          <w:p w14:paraId="71075D2E"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0.231</w:t>
            </w:r>
          </w:p>
        </w:tc>
        <w:tc>
          <w:tcPr>
            <w:tcW w:w="1102" w:type="dxa"/>
            <w:hideMark/>
          </w:tcPr>
          <w:p w14:paraId="428E908B"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0.152</w:t>
            </w:r>
          </w:p>
        </w:tc>
        <w:tc>
          <w:tcPr>
            <w:tcW w:w="360" w:type="dxa"/>
            <w:hideMark/>
          </w:tcPr>
          <w:p w14:paraId="724BEE73"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0.1</w:t>
            </w:r>
          </w:p>
        </w:tc>
        <w:tc>
          <w:tcPr>
            <w:tcW w:w="590" w:type="dxa"/>
            <w:hideMark/>
          </w:tcPr>
          <w:p w14:paraId="66079654"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1.2</w:t>
            </w:r>
          </w:p>
        </w:tc>
      </w:tr>
      <w:tr w:rsidR="00B838A8" w:rsidRPr="00B838A8" w14:paraId="548899BA" w14:textId="77777777" w:rsidTr="000F00BA">
        <w:trPr>
          <w:trHeight w:val="20"/>
        </w:trPr>
        <w:tc>
          <w:tcPr>
            <w:tcW w:w="1561" w:type="dxa"/>
            <w:hideMark/>
          </w:tcPr>
          <w:p w14:paraId="5E11B808"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DMIN</w:t>
            </w:r>
          </w:p>
        </w:tc>
        <w:tc>
          <w:tcPr>
            <w:tcW w:w="3954" w:type="dxa"/>
            <w:hideMark/>
          </w:tcPr>
          <w:p w14:paraId="68CE0676" w14:textId="10FD9FFD" w:rsidR="00B838A8" w:rsidRPr="0087472A" w:rsidRDefault="00B838A8" w:rsidP="002E0259">
            <w:pPr>
              <w:spacing w:after="0" w:line="60" w:lineRule="atLeast"/>
              <w:rPr>
                <w:rFonts w:cstheme="minorHAnsi"/>
                <w:color w:val="777777"/>
                <w:sz w:val="20"/>
                <w:szCs w:val="20"/>
              </w:rPr>
            </w:pPr>
            <w:r w:rsidRPr="0087472A">
              <w:rPr>
                <w:rFonts w:cstheme="minorHAnsi"/>
                <w:color w:val="777777"/>
                <w:sz w:val="20"/>
                <w:szCs w:val="20"/>
              </w:rPr>
              <w:t xml:space="preserve">Distancia </w:t>
            </w:r>
            <w:r w:rsidR="002E0259">
              <w:rPr>
                <w:rFonts w:cstheme="minorHAnsi"/>
                <w:color w:val="777777"/>
                <w:sz w:val="20"/>
                <w:szCs w:val="20"/>
              </w:rPr>
              <w:t>al rival más cercano</w:t>
            </w:r>
          </w:p>
        </w:tc>
        <w:tc>
          <w:tcPr>
            <w:tcW w:w="735" w:type="dxa"/>
            <w:hideMark/>
          </w:tcPr>
          <w:p w14:paraId="42DACADD"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0.405</w:t>
            </w:r>
          </w:p>
        </w:tc>
        <w:tc>
          <w:tcPr>
            <w:tcW w:w="1102" w:type="dxa"/>
            <w:hideMark/>
          </w:tcPr>
          <w:p w14:paraId="5EA54CA3"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0.440</w:t>
            </w:r>
          </w:p>
        </w:tc>
        <w:tc>
          <w:tcPr>
            <w:tcW w:w="360" w:type="dxa"/>
            <w:hideMark/>
          </w:tcPr>
          <w:p w14:paraId="0679E694"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0.0</w:t>
            </w:r>
          </w:p>
        </w:tc>
        <w:tc>
          <w:tcPr>
            <w:tcW w:w="590" w:type="dxa"/>
            <w:hideMark/>
          </w:tcPr>
          <w:p w14:paraId="0D8F7BAF"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5.8</w:t>
            </w:r>
          </w:p>
        </w:tc>
      </w:tr>
      <w:tr w:rsidR="00B838A8" w:rsidRPr="00B838A8" w14:paraId="75E70CDA" w14:textId="77777777" w:rsidTr="000F00BA">
        <w:trPr>
          <w:trHeight w:val="20"/>
        </w:trPr>
        <w:tc>
          <w:tcPr>
            <w:tcW w:w="1561" w:type="dxa"/>
            <w:hideMark/>
          </w:tcPr>
          <w:p w14:paraId="177E5468"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DPROM</w:t>
            </w:r>
          </w:p>
        </w:tc>
        <w:tc>
          <w:tcPr>
            <w:tcW w:w="3954" w:type="dxa"/>
            <w:hideMark/>
          </w:tcPr>
          <w:p w14:paraId="6478D978"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Distancia promedio</w:t>
            </w:r>
          </w:p>
        </w:tc>
        <w:tc>
          <w:tcPr>
            <w:tcW w:w="735" w:type="dxa"/>
            <w:hideMark/>
          </w:tcPr>
          <w:p w14:paraId="0B3BB992"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0.948</w:t>
            </w:r>
          </w:p>
        </w:tc>
        <w:tc>
          <w:tcPr>
            <w:tcW w:w="1102" w:type="dxa"/>
            <w:hideMark/>
          </w:tcPr>
          <w:p w14:paraId="0D4ADBE0"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0.160</w:t>
            </w:r>
          </w:p>
        </w:tc>
        <w:tc>
          <w:tcPr>
            <w:tcW w:w="360" w:type="dxa"/>
            <w:hideMark/>
          </w:tcPr>
          <w:p w14:paraId="0BE1DEF2"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0.2</w:t>
            </w:r>
          </w:p>
        </w:tc>
        <w:tc>
          <w:tcPr>
            <w:tcW w:w="590" w:type="dxa"/>
            <w:hideMark/>
          </w:tcPr>
          <w:p w14:paraId="733290B9"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1.5</w:t>
            </w:r>
          </w:p>
        </w:tc>
      </w:tr>
      <w:tr w:rsidR="00B838A8" w:rsidRPr="00B838A8" w14:paraId="17976F8C" w14:textId="77777777" w:rsidTr="000F00BA">
        <w:trPr>
          <w:trHeight w:val="20"/>
        </w:trPr>
        <w:tc>
          <w:tcPr>
            <w:tcW w:w="1561" w:type="dxa"/>
            <w:hideMark/>
          </w:tcPr>
          <w:p w14:paraId="3BE50CF1"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NCERC</w:t>
            </w:r>
          </w:p>
        </w:tc>
        <w:tc>
          <w:tcPr>
            <w:tcW w:w="3954" w:type="dxa"/>
            <w:hideMark/>
          </w:tcPr>
          <w:p w14:paraId="5D2E5C3B"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Número de grifos cercanos</w:t>
            </w:r>
          </w:p>
        </w:tc>
        <w:tc>
          <w:tcPr>
            <w:tcW w:w="735" w:type="dxa"/>
            <w:hideMark/>
          </w:tcPr>
          <w:p w14:paraId="569525BD"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10.972</w:t>
            </w:r>
          </w:p>
        </w:tc>
        <w:tc>
          <w:tcPr>
            <w:tcW w:w="1102" w:type="dxa"/>
            <w:hideMark/>
          </w:tcPr>
          <w:p w14:paraId="32D5A97D"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6.776</w:t>
            </w:r>
          </w:p>
        </w:tc>
        <w:tc>
          <w:tcPr>
            <w:tcW w:w="360" w:type="dxa"/>
            <w:hideMark/>
          </w:tcPr>
          <w:p w14:paraId="49D3F47B"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1.0</w:t>
            </w:r>
          </w:p>
        </w:tc>
        <w:tc>
          <w:tcPr>
            <w:tcW w:w="590" w:type="dxa"/>
            <w:hideMark/>
          </w:tcPr>
          <w:p w14:paraId="6356E4E1"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30.0</w:t>
            </w:r>
          </w:p>
        </w:tc>
      </w:tr>
      <w:tr w:rsidR="00B838A8" w:rsidRPr="00B838A8" w14:paraId="7ED90551" w14:textId="77777777" w:rsidTr="000F00BA">
        <w:trPr>
          <w:trHeight w:val="20"/>
        </w:trPr>
        <w:tc>
          <w:tcPr>
            <w:tcW w:w="1561" w:type="dxa"/>
            <w:hideMark/>
          </w:tcPr>
          <w:p w14:paraId="279EFF3D"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BAHIAS</w:t>
            </w:r>
          </w:p>
        </w:tc>
        <w:tc>
          <w:tcPr>
            <w:tcW w:w="3954" w:type="dxa"/>
            <w:hideMark/>
          </w:tcPr>
          <w:p w14:paraId="19B2958A"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Número de bahías de abastecimiento</w:t>
            </w:r>
          </w:p>
        </w:tc>
        <w:tc>
          <w:tcPr>
            <w:tcW w:w="735" w:type="dxa"/>
            <w:hideMark/>
          </w:tcPr>
          <w:p w14:paraId="731F8275"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5.378</w:t>
            </w:r>
          </w:p>
        </w:tc>
        <w:tc>
          <w:tcPr>
            <w:tcW w:w="1102" w:type="dxa"/>
            <w:hideMark/>
          </w:tcPr>
          <w:p w14:paraId="1ADCAC9B"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2.866</w:t>
            </w:r>
          </w:p>
        </w:tc>
        <w:tc>
          <w:tcPr>
            <w:tcW w:w="360" w:type="dxa"/>
            <w:hideMark/>
          </w:tcPr>
          <w:p w14:paraId="1ED67194"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0.0</w:t>
            </w:r>
          </w:p>
        </w:tc>
        <w:tc>
          <w:tcPr>
            <w:tcW w:w="590" w:type="dxa"/>
            <w:hideMark/>
          </w:tcPr>
          <w:p w14:paraId="23D0083E"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22.0</w:t>
            </w:r>
          </w:p>
        </w:tc>
      </w:tr>
      <w:tr w:rsidR="00B838A8" w:rsidRPr="0087472A" w14:paraId="38E8092C" w14:textId="77777777" w:rsidTr="000F00BA">
        <w:trPr>
          <w:trHeight w:val="20"/>
        </w:trPr>
        <w:tc>
          <w:tcPr>
            <w:tcW w:w="8503" w:type="dxa"/>
            <w:gridSpan w:val="6"/>
            <w:hideMark/>
          </w:tcPr>
          <w:p w14:paraId="66ADE99D" w14:textId="77777777" w:rsidR="00B838A8" w:rsidRPr="0087472A" w:rsidRDefault="00B838A8" w:rsidP="00B838A8">
            <w:pPr>
              <w:spacing w:after="0" w:line="60" w:lineRule="atLeast"/>
              <w:rPr>
                <w:rFonts w:cstheme="minorHAnsi"/>
                <w:color w:val="777777"/>
                <w:sz w:val="20"/>
                <w:szCs w:val="20"/>
              </w:rPr>
            </w:pPr>
            <w:r w:rsidRPr="00B838A8">
              <w:rPr>
                <w:rFonts w:cstheme="minorHAnsi"/>
                <w:b/>
                <w:bCs/>
                <w:color w:val="777777"/>
                <w:sz w:val="20"/>
                <w:szCs w:val="20"/>
              </w:rPr>
              <w:t>Características de la ubicación y del distrito</w:t>
            </w:r>
          </w:p>
        </w:tc>
      </w:tr>
      <w:tr w:rsidR="00B838A8" w:rsidRPr="00B838A8" w14:paraId="557A8165" w14:textId="77777777" w:rsidTr="000F00BA">
        <w:trPr>
          <w:trHeight w:val="20"/>
        </w:trPr>
        <w:tc>
          <w:tcPr>
            <w:tcW w:w="1561" w:type="dxa"/>
            <w:hideMark/>
          </w:tcPr>
          <w:p w14:paraId="38B4AE5B"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GLP</w:t>
            </w:r>
          </w:p>
        </w:tc>
        <w:tc>
          <w:tcPr>
            <w:tcW w:w="3954" w:type="dxa"/>
            <w:hideMark/>
          </w:tcPr>
          <w:p w14:paraId="0691BCF1" w14:textId="77777777" w:rsidR="00B838A8" w:rsidRPr="0087472A" w:rsidRDefault="00B838A8" w:rsidP="00B838A8">
            <w:pPr>
              <w:spacing w:after="0" w:line="20" w:lineRule="atLeast"/>
              <w:rPr>
                <w:rFonts w:cstheme="minorHAnsi"/>
                <w:color w:val="777777"/>
                <w:sz w:val="20"/>
                <w:szCs w:val="20"/>
              </w:rPr>
            </w:pPr>
            <w:proofErr w:type="spellStart"/>
            <w:r w:rsidRPr="0087472A">
              <w:rPr>
                <w:rFonts w:cstheme="minorHAnsi"/>
                <w:color w:val="777777"/>
                <w:sz w:val="20"/>
                <w:szCs w:val="20"/>
              </w:rPr>
              <w:t>Dummy</w:t>
            </w:r>
            <w:proofErr w:type="spellEnd"/>
            <w:r w:rsidRPr="0087472A">
              <w:rPr>
                <w:rFonts w:cstheme="minorHAnsi"/>
                <w:color w:val="777777"/>
                <w:sz w:val="20"/>
                <w:szCs w:val="20"/>
              </w:rPr>
              <w:t xml:space="preserve"> igual a 1 si la estación cuenta con despacho de GLP</w:t>
            </w:r>
          </w:p>
        </w:tc>
        <w:tc>
          <w:tcPr>
            <w:tcW w:w="735" w:type="dxa"/>
            <w:hideMark/>
          </w:tcPr>
          <w:p w14:paraId="200A21E6"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0.447</w:t>
            </w:r>
          </w:p>
        </w:tc>
        <w:tc>
          <w:tcPr>
            <w:tcW w:w="1102" w:type="dxa"/>
            <w:hideMark/>
          </w:tcPr>
          <w:p w14:paraId="3FC33ECF"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0.498</w:t>
            </w:r>
          </w:p>
        </w:tc>
        <w:tc>
          <w:tcPr>
            <w:tcW w:w="360" w:type="dxa"/>
            <w:hideMark/>
          </w:tcPr>
          <w:p w14:paraId="404D6543" w14:textId="3DD59737"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0</w:t>
            </w:r>
          </w:p>
        </w:tc>
        <w:tc>
          <w:tcPr>
            <w:tcW w:w="590" w:type="dxa"/>
            <w:hideMark/>
          </w:tcPr>
          <w:p w14:paraId="7432A1EA" w14:textId="519A7417"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1</w:t>
            </w:r>
          </w:p>
        </w:tc>
      </w:tr>
      <w:tr w:rsidR="00B838A8" w:rsidRPr="00B838A8" w14:paraId="4FB45030" w14:textId="77777777" w:rsidTr="000F00BA">
        <w:trPr>
          <w:trHeight w:val="20"/>
        </w:trPr>
        <w:tc>
          <w:tcPr>
            <w:tcW w:w="1561" w:type="dxa"/>
            <w:hideMark/>
          </w:tcPr>
          <w:p w14:paraId="57C2F567"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GNV</w:t>
            </w:r>
          </w:p>
        </w:tc>
        <w:tc>
          <w:tcPr>
            <w:tcW w:w="3954" w:type="dxa"/>
            <w:hideMark/>
          </w:tcPr>
          <w:p w14:paraId="6D4D57F7" w14:textId="77777777" w:rsidR="00B838A8" w:rsidRPr="0087472A" w:rsidRDefault="00B838A8" w:rsidP="00B838A8">
            <w:pPr>
              <w:spacing w:after="0" w:line="60" w:lineRule="atLeast"/>
              <w:rPr>
                <w:rFonts w:cstheme="minorHAnsi"/>
                <w:color w:val="777777"/>
                <w:sz w:val="20"/>
                <w:szCs w:val="20"/>
              </w:rPr>
            </w:pPr>
            <w:proofErr w:type="spellStart"/>
            <w:r w:rsidRPr="0087472A">
              <w:rPr>
                <w:rFonts w:cstheme="minorHAnsi"/>
                <w:color w:val="777777"/>
                <w:sz w:val="20"/>
                <w:szCs w:val="20"/>
              </w:rPr>
              <w:t>Dummy</w:t>
            </w:r>
            <w:proofErr w:type="spellEnd"/>
            <w:r w:rsidRPr="0087472A">
              <w:rPr>
                <w:rFonts w:cstheme="minorHAnsi"/>
                <w:color w:val="777777"/>
                <w:sz w:val="20"/>
                <w:szCs w:val="20"/>
              </w:rPr>
              <w:t xml:space="preserve"> igual a 1 si la estación cuenta con despacho de GNV</w:t>
            </w:r>
          </w:p>
        </w:tc>
        <w:tc>
          <w:tcPr>
            <w:tcW w:w="735" w:type="dxa"/>
            <w:hideMark/>
          </w:tcPr>
          <w:p w14:paraId="4B349FFB"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0.349</w:t>
            </w:r>
          </w:p>
        </w:tc>
        <w:tc>
          <w:tcPr>
            <w:tcW w:w="1102" w:type="dxa"/>
            <w:hideMark/>
          </w:tcPr>
          <w:p w14:paraId="3CEA46C3"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0.477</w:t>
            </w:r>
          </w:p>
        </w:tc>
        <w:tc>
          <w:tcPr>
            <w:tcW w:w="360" w:type="dxa"/>
            <w:hideMark/>
          </w:tcPr>
          <w:p w14:paraId="02A973DF" w14:textId="78BBFBFA"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0</w:t>
            </w:r>
          </w:p>
        </w:tc>
        <w:tc>
          <w:tcPr>
            <w:tcW w:w="590" w:type="dxa"/>
            <w:hideMark/>
          </w:tcPr>
          <w:p w14:paraId="39CEDB00" w14:textId="04785A14"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1</w:t>
            </w:r>
          </w:p>
        </w:tc>
      </w:tr>
      <w:tr w:rsidR="00B838A8" w:rsidRPr="00B838A8" w14:paraId="0D5453C3" w14:textId="77777777" w:rsidTr="000F00BA">
        <w:trPr>
          <w:trHeight w:val="20"/>
        </w:trPr>
        <w:tc>
          <w:tcPr>
            <w:tcW w:w="1561" w:type="dxa"/>
            <w:hideMark/>
          </w:tcPr>
          <w:p w14:paraId="53753354"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MECANICO</w:t>
            </w:r>
          </w:p>
        </w:tc>
        <w:tc>
          <w:tcPr>
            <w:tcW w:w="3954" w:type="dxa"/>
            <w:hideMark/>
          </w:tcPr>
          <w:p w14:paraId="523EFAF3" w14:textId="77777777" w:rsidR="00B838A8" w:rsidRPr="0087472A" w:rsidRDefault="00B838A8" w:rsidP="00B838A8">
            <w:pPr>
              <w:spacing w:after="0" w:line="60" w:lineRule="atLeast"/>
              <w:rPr>
                <w:rFonts w:cstheme="minorHAnsi"/>
                <w:color w:val="777777"/>
                <w:sz w:val="20"/>
                <w:szCs w:val="20"/>
              </w:rPr>
            </w:pPr>
            <w:proofErr w:type="spellStart"/>
            <w:r w:rsidRPr="0087472A">
              <w:rPr>
                <w:rFonts w:cstheme="minorHAnsi"/>
                <w:color w:val="777777"/>
                <w:sz w:val="20"/>
                <w:szCs w:val="20"/>
              </w:rPr>
              <w:t>Dummy</w:t>
            </w:r>
            <w:proofErr w:type="spellEnd"/>
            <w:r w:rsidRPr="0087472A">
              <w:rPr>
                <w:rFonts w:cstheme="minorHAnsi"/>
                <w:color w:val="777777"/>
                <w:sz w:val="20"/>
                <w:szCs w:val="20"/>
              </w:rPr>
              <w:t xml:space="preserve"> igual a 1 si la estación cuenta con asistencia mecánica</w:t>
            </w:r>
          </w:p>
        </w:tc>
        <w:tc>
          <w:tcPr>
            <w:tcW w:w="735" w:type="dxa"/>
            <w:hideMark/>
          </w:tcPr>
          <w:p w14:paraId="552E2986"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0.367</w:t>
            </w:r>
          </w:p>
        </w:tc>
        <w:tc>
          <w:tcPr>
            <w:tcW w:w="1102" w:type="dxa"/>
            <w:hideMark/>
          </w:tcPr>
          <w:p w14:paraId="66FBCD13"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0.483</w:t>
            </w:r>
          </w:p>
        </w:tc>
        <w:tc>
          <w:tcPr>
            <w:tcW w:w="360" w:type="dxa"/>
            <w:hideMark/>
          </w:tcPr>
          <w:p w14:paraId="64F7321C" w14:textId="50EE9D34"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0</w:t>
            </w:r>
          </w:p>
        </w:tc>
        <w:tc>
          <w:tcPr>
            <w:tcW w:w="590" w:type="dxa"/>
            <w:hideMark/>
          </w:tcPr>
          <w:p w14:paraId="7A4A3EB3" w14:textId="450BF7C9"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1</w:t>
            </w:r>
          </w:p>
        </w:tc>
      </w:tr>
      <w:tr w:rsidR="00B838A8" w:rsidRPr="00B838A8" w14:paraId="25D793E8" w14:textId="77777777" w:rsidTr="000F00BA">
        <w:trPr>
          <w:trHeight w:val="20"/>
        </w:trPr>
        <w:tc>
          <w:tcPr>
            <w:tcW w:w="1561" w:type="dxa"/>
            <w:hideMark/>
          </w:tcPr>
          <w:p w14:paraId="771E27B1"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LAVADO</w:t>
            </w:r>
          </w:p>
        </w:tc>
        <w:tc>
          <w:tcPr>
            <w:tcW w:w="3954" w:type="dxa"/>
            <w:hideMark/>
          </w:tcPr>
          <w:p w14:paraId="5AE5B8EB" w14:textId="77777777" w:rsidR="00B838A8" w:rsidRPr="0087472A" w:rsidRDefault="00B838A8" w:rsidP="00B838A8">
            <w:pPr>
              <w:spacing w:after="0" w:line="60" w:lineRule="atLeast"/>
              <w:rPr>
                <w:rFonts w:cstheme="minorHAnsi"/>
                <w:color w:val="777777"/>
                <w:sz w:val="20"/>
                <w:szCs w:val="20"/>
              </w:rPr>
            </w:pPr>
            <w:proofErr w:type="spellStart"/>
            <w:r w:rsidRPr="0087472A">
              <w:rPr>
                <w:rFonts w:cstheme="minorHAnsi"/>
                <w:color w:val="777777"/>
                <w:sz w:val="20"/>
                <w:szCs w:val="20"/>
              </w:rPr>
              <w:t>Dummy</w:t>
            </w:r>
            <w:proofErr w:type="spellEnd"/>
            <w:r w:rsidRPr="0087472A">
              <w:rPr>
                <w:rFonts w:cstheme="minorHAnsi"/>
                <w:color w:val="777777"/>
                <w:sz w:val="20"/>
                <w:szCs w:val="20"/>
              </w:rPr>
              <w:t xml:space="preserve"> igual a 1 si la estación cuenta con servicio de lavado de autos</w:t>
            </w:r>
          </w:p>
        </w:tc>
        <w:tc>
          <w:tcPr>
            <w:tcW w:w="735" w:type="dxa"/>
            <w:hideMark/>
          </w:tcPr>
          <w:p w14:paraId="39F406E2"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0.210</w:t>
            </w:r>
          </w:p>
        </w:tc>
        <w:tc>
          <w:tcPr>
            <w:tcW w:w="1102" w:type="dxa"/>
            <w:hideMark/>
          </w:tcPr>
          <w:p w14:paraId="61B8DB13"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0.408</w:t>
            </w:r>
          </w:p>
        </w:tc>
        <w:tc>
          <w:tcPr>
            <w:tcW w:w="360" w:type="dxa"/>
            <w:hideMark/>
          </w:tcPr>
          <w:p w14:paraId="0BB952FA" w14:textId="5D2B2F1C"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0</w:t>
            </w:r>
          </w:p>
        </w:tc>
        <w:tc>
          <w:tcPr>
            <w:tcW w:w="590" w:type="dxa"/>
            <w:hideMark/>
          </w:tcPr>
          <w:p w14:paraId="5FB109F3" w14:textId="2E5CDBFA"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1</w:t>
            </w:r>
          </w:p>
        </w:tc>
      </w:tr>
      <w:tr w:rsidR="00B838A8" w:rsidRPr="00B838A8" w14:paraId="0DC5B38A" w14:textId="77777777" w:rsidTr="000F00BA">
        <w:trPr>
          <w:trHeight w:val="20"/>
        </w:trPr>
        <w:tc>
          <w:tcPr>
            <w:tcW w:w="1561" w:type="dxa"/>
            <w:hideMark/>
          </w:tcPr>
          <w:p w14:paraId="5A5202F2"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TIENDA</w:t>
            </w:r>
          </w:p>
        </w:tc>
        <w:tc>
          <w:tcPr>
            <w:tcW w:w="3954" w:type="dxa"/>
            <w:hideMark/>
          </w:tcPr>
          <w:p w14:paraId="1747EBB0" w14:textId="77777777" w:rsidR="00B838A8" w:rsidRPr="0087472A" w:rsidRDefault="00B838A8" w:rsidP="00B838A8">
            <w:pPr>
              <w:spacing w:after="0" w:line="60" w:lineRule="atLeast"/>
              <w:rPr>
                <w:rFonts w:cstheme="minorHAnsi"/>
                <w:color w:val="777777"/>
                <w:sz w:val="20"/>
                <w:szCs w:val="20"/>
              </w:rPr>
            </w:pPr>
            <w:proofErr w:type="spellStart"/>
            <w:r w:rsidRPr="0087472A">
              <w:rPr>
                <w:rFonts w:cstheme="minorHAnsi"/>
                <w:color w:val="777777"/>
                <w:sz w:val="20"/>
                <w:szCs w:val="20"/>
              </w:rPr>
              <w:t>Dummy</w:t>
            </w:r>
            <w:proofErr w:type="spellEnd"/>
            <w:r w:rsidRPr="0087472A">
              <w:rPr>
                <w:rFonts w:cstheme="minorHAnsi"/>
                <w:color w:val="777777"/>
                <w:sz w:val="20"/>
                <w:szCs w:val="20"/>
              </w:rPr>
              <w:t xml:space="preserve"> igual a 1 si la estación cuenta con tienda o mini-</w:t>
            </w:r>
            <w:proofErr w:type="spellStart"/>
            <w:r w:rsidRPr="0087472A">
              <w:rPr>
                <w:rFonts w:cstheme="minorHAnsi"/>
                <w:color w:val="777777"/>
                <w:sz w:val="20"/>
                <w:szCs w:val="20"/>
              </w:rPr>
              <w:t>market</w:t>
            </w:r>
            <w:proofErr w:type="spellEnd"/>
          </w:p>
        </w:tc>
        <w:tc>
          <w:tcPr>
            <w:tcW w:w="735" w:type="dxa"/>
            <w:hideMark/>
          </w:tcPr>
          <w:p w14:paraId="3D297663"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0.649</w:t>
            </w:r>
          </w:p>
        </w:tc>
        <w:tc>
          <w:tcPr>
            <w:tcW w:w="1102" w:type="dxa"/>
            <w:hideMark/>
          </w:tcPr>
          <w:p w14:paraId="7AAF7752"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0.478</w:t>
            </w:r>
          </w:p>
        </w:tc>
        <w:tc>
          <w:tcPr>
            <w:tcW w:w="360" w:type="dxa"/>
            <w:hideMark/>
          </w:tcPr>
          <w:p w14:paraId="3881904E" w14:textId="1298BCA5"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0</w:t>
            </w:r>
          </w:p>
        </w:tc>
        <w:tc>
          <w:tcPr>
            <w:tcW w:w="590" w:type="dxa"/>
            <w:hideMark/>
          </w:tcPr>
          <w:p w14:paraId="5D89E291" w14:textId="4AB3CCCB"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1</w:t>
            </w:r>
          </w:p>
        </w:tc>
      </w:tr>
      <w:tr w:rsidR="00B838A8" w:rsidRPr="00B838A8" w14:paraId="63A94FDD" w14:textId="77777777" w:rsidTr="000F00BA">
        <w:trPr>
          <w:trHeight w:val="20"/>
        </w:trPr>
        <w:tc>
          <w:tcPr>
            <w:tcW w:w="1561" w:type="dxa"/>
            <w:hideMark/>
          </w:tcPr>
          <w:p w14:paraId="748566F5" w14:textId="77777777" w:rsidR="00B838A8" w:rsidRPr="0087472A" w:rsidRDefault="00B838A8" w:rsidP="00B838A8">
            <w:pPr>
              <w:spacing w:after="0" w:line="60" w:lineRule="atLeast"/>
              <w:rPr>
                <w:rFonts w:cstheme="minorHAnsi"/>
                <w:color w:val="777777"/>
                <w:sz w:val="20"/>
                <w:szCs w:val="20"/>
              </w:rPr>
            </w:pPr>
            <w:r w:rsidRPr="0087472A">
              <w:rPr>
                <w:rFonts w:cstheme="minorHAnsi"/>
                <w:color w:val="777777"/>
                <w:sz w:val="20"/>
                <w:szCs w:val="20"/>
              </w:rPr>
              <w:t>CAJERO</w:t>
            </w:r>
          </w:p>
        </w:tc>
        <w:tc>
          <w:tcPr>
            <w:tcW w:w="3954" w:type="dxa"/>
            <w:hideMark/>
          </w:tcPr>
          <w:p w14:paraId="3CCBBD30" w14:textId="77777777" w:rsidR="00B838A8" w:rsidRPr="0087472A" w:rsidRDefault="00B838A8" w:rsidP="00B838A8">
            <w:pPr>
              <w:spacing w:after="0" w:line="60" w:lineRule="atLeast"/>
              <w:rPr>
                <w:rFonts w:cstheme="minorHAnsi"/>
                <w:color w:val="777777"/>
                <w:sz w:val="20"/>
                <w:szCs w:val="20"/>
              </w:rPr>
            </w:pPr>
            <w:proofErr w:type="spellStart"/>
            <w:r w:rsidRPr="0087472A">
              <w:rPr>
                <w:rFonts w:cstheme="minorHAnsi"/>
                <w:color w:val="777777"/>
                <w:sz w:val="20"/>
                <w:szCs w:val="20"/>
              </w:rPr>
              <w:t>Dummy</w:t>
            </w:r>
            <w:proofErr w:type="spellEnd"/>
            <w:r w:rsidRPr="0087472A">
              <w:rPr>
                <w:rFonts w:cstheme="minorHAnsi"/>
                <w:color w:val="777777"/>
                <w:sz w:val="20"/>
                <w:szCs w:val="20"/>
              </w:rPr>
              <w:t xml:space="preserve"> igual a 1 si la estación cuenta con cajero automático</w:t>
            </w:r>
          </w:p>
        </w:tc>
        <w:tc>
          <w:tcPr>
            <w:tcW w:w="735" w:type="dxa"/>
            <w:hideMark/>
          </w:tcPr>
          <w:p w14:paraId="6F25C1C3"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0.393</w:t>
            </w:r>
          </w:p>
        </w:tc>
        <w:tc>
          <w:tcPr>
            <w:tcW w:w="1102" w:type="dxa"/>
            <w:hideMark/>
          </w:tcPr>
          <w:p w14:paraId="16874230" w14:textId="77777777" w:rsidR="00B838A8" w:rsidRPr="0087472A" w:rsidRDefault="00B838A8" w:rsidP="00B838A8">
            <w:pPr>
              <w:spacing w:after="0" w:line="60" w:lineRule="atLeast"/>
              <w:jc w:val="right"/>
              <w:rPr>
                <w:rFonts w:cstheme="minorHAnsi"/>
                <w:color w:val="777777"/>
                <w:sz w:val="20"/>
                <w:szCs w:val="20"/>
              </w:rPr>
            </w:pPr>
            <w:r w:rsidRPr="0087472A">
              <w:rPr>
                <w:rFonts w:cstheme="minorHAnsi"/>
                <w:color w:val="777777"/>
                <w:sz w:val="20"/>
                <w:szCs w:val="20"/>
              </w:rPr>
              <w:t>0.489</w:t>
            </w:r>
          </w:p>
        </w:tc>
        <w:tc>
          <w:tcPr>
            <w:tcW w:w="360" w:type="dxa"/>
            <w:hideMark/>
          </w:tcPr>
          <w:p w14:paraId="5E02F816" w14:textId="252B2019"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0</w:t>
            </w:r>
          </w:p>
        </w:tc>
        <w:tc>
          <w:tcPr>
            <w:tcW w:w="590" w:type="dxa"/>
            <w:hideMark/>
          </w:tcPr>
          <w:p w14:paraId="32F45D3A" w14:textId="01BAA852" w:rsidR="00B838A8" w:rsidRPr="0087472A" w:rsidRDefault="00B838A8" w:rsidP="00B838A8">
            <w:pPr>
              <w:spacing w:after="0" w:line="60" w:lineRule="atLeast"/>
              <w:jc w:val="right"/>
              <w:rPr>
                <w:rFonts w:cstheme="minorHAnsi"/>
                <w:color w:val="777777"/>
                <w:sz w:val="20"/>
                <w:szCs w:val="20"/>
              </w:rPr>
            </w:pPr>
            <w:r w:rsidRPr="00B838A8">
              <w:rPr>
                <w:rFonts w:cstheme="minorHAnsi"/>
                <w:color w:val="777777"/>
                <w:sz w:val="20"/>
                <w:szCs w:val="20"/>
              </w:rPr>
              <w:t>1</w:t>
            </w:r>
          </w:p>
        </w:tc>
      </w:tr>
    </w:tbl>
    <w:p w14:paraId="296AE0B7" w14:textId="1AA82BC5" w:rsidR="00B838A8" w:rsidRDefault="00B838A8" w:rsidP="00B838A8"/>
    <w:tbl>
      <w:tblPr>
        <w:tblStyle w:val="Tablaconcuadrcula"/>
        <w:tblW w:w="8764" w:type="dxa"/>
        <w:tblInd w:w="5" w:type="dxa"/>
        <w:tblLook w:val="04A0" w:firstRow="1" w:lastRow="0" w:firstColumn="1" w:lastColumn="0" w:noHBand="0" w:noVBand="1"/>
      </w:tblPr>
      <w:tblGrid>
        <w:gridCol w:w="1284"/>
        <w:gridCol w:w="680"/>
        <w:gridCol w:w="680"/>
        <w:gridCol w:w="680"/>
        <w:gridCol w:w="680"/>
        <w:gridCol w:w="680"/>
        <w:gridCol w:w="680"/>
        <w:gridCol w:w="680"/>
        <w:gridCol w:w="680"/>
        <w:gridCol w:w="680"/>
        <w:gridCol w:w="680"/>
        <w:gridCol w:w="680"/>
      </w:tblGrid>
      <w:tr w:rsidR="000F00BA" w:rsidRPr="005F26F4" w14:paraId="402AF152" w14:textId="77777777" w:rsidTr="000F00BA">
        <w:trPr>
          <w:cantSplit/>
          <w:trHeight w:val="1134"/>
        </w:trPr>
        <w:tc>
          <w:tcPr>
            <w:tcW w:w="1284" w:type="dxa"/>
            <w:tcBorders>
              <w:top w:val="nil"/>
              <w:left w:val="nil"/>
            </w:tcBorders>
            <w:hideMark/>
          </w:tcPr>
          <w:p w14:paraId="1F95EFD0" w14:textId="77777777" w:rsidR="000F00BA" w:rsidRPr="005F26F4" w:rsidRDefault="000F00BA" w:rsidP="000F00BA">
            <w:pPr>
              <w:keepNext/>
              <w:spacing w:after="0" w:line="240" w:lineRule="auto"/>
              <w:rPr>
                <w:rFonts w:ascii="Times New Roman" w:hAnsi="Times New Roman"/>
                <w:sz w:val="20"/>
                <w:szCs w:val="20"/>
                <w:lang w:val="en-US"/>
              </w:rPr>
            </w:pPr>
          </w:p>
        </w:tc>
        <w:tc>
          <w:tcPr>
            <w:tcW w:w="680" w:type="dxa"/>
            <w:textDirection w:val="btLr"/>
            <w:hideMark/>
          </w:tcPr>
          <w:p w14:paraId="561DCF69"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Pr>
                <w:rFonts w:ascii="Times New Roman" w:hAnsi="Times New Roman"/>
                <w:b/>
                <w:bCs/>
                <w:color w:val="333333"/>
                <w:sz w:val="20"/>
                <w:szCs w:val="20"/>
                <w:lang w:val="en-US"/>
              </w:rPr>
              <w:t>P</w:t>
            </w:r>
            <w:r w:rsidRPr="005F26F4">
              <w:rPr>
                <w:rFonts w:ascii="Times New Roman" w:hAnsi="Times New Roman"/>
                <w:b/>
                <w:bCs/>
                <w:color w:val="333333"/>
                <w:sz w:val="20"/>
                <w:szCs w:val="20"/>
                <w:vertAlign w:val="subscript"/>
                <w:lang w:val="en-US"/>
              </w:rPr>
              <w:t>it</w:t>
            </w:r>
          </w:p>
        </w:tc>
        <w:tc>
          <w:tcPr>
            <w:tcW w:w="680" w:type="dxa"/>
            <w:textDirection w:val="btLr"/>
            <w:hideMark/>
          </w:tcPr>
          <w:p w14:paraId="50AAC89C"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SC</w:t>
            </w:r>
          </w:p>
        </w:tc>
        <w:tc>
          <w:tcPr>
            <w:tcW w:w="680" w:type="dxa"/>
            <w:textDirection w:val="btLr"/>
            <w:hideMark/>
          </w:tcPr>
          <w:p w14:paraId="42DEDDDE"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DMIN</w:t>
            </w:r>
          </w:p>
        </w:tc>
        <w:tc>
          <w:tcPr>
            <w:tcW w:w="680" w:type="dxa"/>
            <w:textDirection w:val="btLr"/>
            <w:hideMark/>
          </w:tcPr>
          <w:p w14:paraId="7AF25547"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DPROM</w:t>
            </w:r>
          </w:p>
        </w:tc>
        <w:tc>
          <w:tcPr>
            <w:tcW w:w="680" w:type="dxa"/>
            <w:textDirection w:val="btLr"/>
            <w:hideMark/>
          </w:tcPr>
          <w:p w14:paraId="3DBE7782"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NCERC</w:t>
            </w:r>
          </w:p>
        </w:tc>
        <w:tc>
          <w:tcPr>
            <w:tcW w:w="680" w:type="dxa"/>
            <w:textDirection w:val="btLr"/>
            <w:hideMark/>
          </w:tcPr>
          <w:p w14:paraId="4EFB93A9"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BAHIAS</w:t>
            </w:r>
          </w:p>
        </w:tc>
        <w:tc>
          <w:tcPr>
            <w:tcW w:w="680" w:type="dxa"/>
            <w:textDirection w:val="btLr"/>
            <w:hideMark/>
          </w:tcPr>
          <w:p w14:paraId="245CA7A4"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GLP</w:t>
            </w:r>
          </w:p>
        </w:tc>
        <w:tc>
          <w:tcPr>
            <w:tcW w:w="680" w:type="dxa"/>
            <w:textDirection w:val="btLr"/>
            <w:hideMark/>
          </w:tcPr>
          <w:p w14:paraId="119811FA"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GNV</w:t>
            </w:r>
          </w:p>
        </w:tc>
        <w:tc>
          <w:tcPr>
            <w:tcW w:w="680" w:type="dxa"/>
            <w:textDirection w:val="btLr"/>
            <w:hideMark/>
          </w:tcPr>
          <w:p w14:paraId="11F65DAB"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MEC</w:t>
            </w:r>
          </w:p>
        </w:tc>
        <w:tc>
          <w:tcPr>
            <w:tcW w:w="680" w:type="dxa"/>
            <w:textDirection w:val="btLr"/>
            <w:hideMark/>
          </w:tcPr>
          <w:p w14:paraId="3374254A"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LAV</w:t>
            </w:r>
          </w:p>
        </w:tc>
        <w:tc>
          <w:tcPr>
            <w:tcW w:w="680" w:type="dxa"/>
            <w:textDirection w:val="btLr"/>
            <w:hideMark/>
          </w:tcPr>
          <w:p w14:paraId="09C75C41" w14:textId="77777777" w:rsidR="000F00BA" w:rsidRPr="005F26F4" w:rsidRDefault="000F00BA" w:rsidP="000F00BA">
            <w:pPr>
              <w:keepNext/>
              <w:spacing w:after="0" w:line="240" w:lineRule="auto"/>
              <w:ind w:left="113" w:right="113"/>
              <w:rPr>
                <w:rFonts w:ascii="Times New Roman" w:hAnsi="Times New Roman"/>
                <w:b/>
                <w:bCs/>
                <w:color w:val="333333"/>
                <w:sz w:val="20"/>
                <w:szCs w:val="20"/>
                <w:lang w:val="en-US"/>
              </w:rPr>
            </w:pPr>
            <w:r w:rsidRPr="005F26F4">
              <w:rPr>
                <w:rFonts w:ascii="Times New Roman" w:hAnsi="Times New Roman"/>
                <w:b/>
                <w:bCs/>
                <w:color w:val="333333"/>
                <w:sz w:val="20"/>
                <w:szCs w:val="20"/>
                <w:lang w:val="en-US"/>
              </w:rPr>
              <w:t>TIENDA</w:t>
            </w:r>
          </w:p>
        </w:tc>
      </w:tr>
      <w:tr w:rsidR="000F00BA" w:rsidRPr="005F26F4" w14:paraId="101BD7FE" w14:textId="77777777" w:rsidTr="000F00BA">
        <w:tc>
          <w:tcPr>
            <w:tcW w:w="1284" w:type="dxa"/>
            <w:hideMark/>
          </w:tcPr>
          <w:p w14:paraId="4A78AA1C" w14:textId="77777777" w:rsidR="000F00BA" w:rsidRPr="005F26F4" w:rsidRDefault="000F00BA" w:rsidP="000F00BA">
            <w:pPr>
              <w:keepNext/>
              <w:spacing w:after="0" w:line="240" w:lineRule="auto"/>
              <w:rPr>
                <w:rFonts w:ascii="Times New Roman" w:hAnsi="Times New Roman"/>
                <w:color w:val="333333"/>
                <w:sz w:val="20"/>
                <w:szCs w:val="20"/>
                <w:lang w:val="en-US"/>
              </w:rPr>
            </w:pPr>
            <w:r>
              <w:rPr>
                <w:rFonts w:ascii="Times New Roman" w:hAnsi="Times New Roman"/>
                <w:color w:val="333333"/>
                <w:sz w:val="20"/>
                <w:szCs w:val="20"/>
                <w:lang w:val="en-US"/>
              </w:rPr>
              <w:t>P</w:t>
            </w:r>
            <w:r w:rsidRPr="005F26F4">
              <w:rPr>
                <w:rFonts w:ascii="Times New Roman" w:hAnsi="Times New Roman"/>
                <w:color w:val="333333"/>
                <w:sz w:val="20"/>
                <w:szCs w:val="20"/>
                <w:vertAlign w:val="subscript"/>
                <w:lang w:val="en-US"/>
              </w:rPr>
              <w:t>it</w:t>
            </w:r>
          </w:p>
        </w:tc>
        <w:tc>
          <w:tcPr>
            <w:tcW w:w="680" w:type="dxa"/>
            <w:hideMark/>
          </w:tcPr>
          <w:p w14:paraId="1222CD6A"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5C2F1BCB"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164A351B"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37E4180A"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447AF932"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3CB6CA88"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4B84954D"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38609945"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6CE4ADED"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1BF15057"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13A3DB2C" w14:textId="77777777" w:rsidR="000F00BA" w:rsidRPr="005F26F4" w:rsidRDefault="000F00BA" w:rsidP="000F00BA">
            <w:pPr>
              <w:keepNext/>
              <w:spacing w:after="0" w:line="240" w:lineRule="auto"/>
              <w:jc w:val="right"/>
              <w:rPr>
                <w:rFonts w:ascii="Times New Roman" w:hAnsi="Times New Roman"/>
                <w:sz w:val="20"/>
                <w:szCs w:val="20"/>
                <w:lang w:val="en-US"/>
              </w:rPr>
            </w:pPr>
          </w:p>
        </w:tc>
      </w:tr>
      <w:tr w:rsidR="000F00BA" w:rsidRPr="005F26F4" w14:paraId="147ED8D8" w14:textId="77777777" w:rsidTr="000F00BA">
        <w:tc>
          <w:tcPr>
            <w:tcW w:w="1284" w:type="dxa"/>
            <w:hideMark/>
          </w:tcPr>
          <w:p w14:paraId="1739D6CF"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SC</w:t>
            </w:r>
          </w:p>
        </w:tc>
        <w:tc>
          <w:tcPr>
            <w:tcW w:w="680" w:type="dxa"/>
            <w:hideMark/>
          </w:tcPr>
          <w:p w14:paraId="20F28B2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0.13</w:t>
            </w:r>
          </w:p>
        </w:tc>
        <w:tc>
          <w:tcPr>
            <w:tcW w:w="680" w:type="dxa"/>
            <w:hideMark/>
          </w:tcPr>
          <w:p w14:paraId="13D05937"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3AFB5FDC"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58993C55"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09AC78AD"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389E38A0"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28EF194F"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77AAB49A"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6ADF6E08"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188D0CF0"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7636198B" w14:textId="77777777" w:rsidR="000F00BA" w:rsidRPr="005F26F4" w:rsidRDefault="000F00BA" w:rsidP="000F00BA">
            <w:pPr>
              <w:keepNext/>
              <w:spacing w:after="0" w:line="240" w:lineRule="auto"/>
              <w:jc w:val="right"/>
              <w:rPr>
                <w:rFonts w:ascii="Times New Roman" w:hAnsi="Times New Roman"/>
                <w:sz w:val="20"/>
                <w:szCs w:val="20"/>
                <w:lang w:val="en-US"/>
              </w:rPr>
            </w:pPr>
          </w:p>
        </w:tc>
      </w:tr>
      <w:tr w:rsidR="000F00BA" w:rsidRPr="005F26F4" w14:paraId="150DC5E2" w14:textId="77777777" w:rsidTr="000F00BA">
        <w:tc>
          <w:tcPr>
            <w:tcW w:w="1284" w:type="dxa"/>
            <w:hideMark/>
          </w:tcPr>
          <w:p w14:paraId="615186F2"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DMIN</w:t>
            </w:r>
          </w:p>
        </w:tc>
        <w:tc>
          <w:tcPr>
            <w:tcW w:w="680" w:type="dxa"/>
            <w:hideMark/>
          </w:tcPr>
          <w:p w14:paraId="0FB2DFC3"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0.03</w:t>
            </w:r>
          </w:p>
        </w:tc>
        <w:tc>
          <w:tcPr>
            <w:tcW w:w="680" w:type="dxa"/>
            <w:hideMark/>
          </w:tcPr>
          <w:p w14:paraId="5C3EFA41"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-0.14</w:t>
            </w:r>
          </w:p>
        </w:tc>
        <w:tc>
          <w:tcPr>
            <w:tcW w:w="680" w:type="dxa"/>
            <w:hideMark/>
          </w:tcPr>
          <w:p w14:paraId="77137537"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4084A48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3BA7EDDD"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345CFA92"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6E059139"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66A11DE8"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4E054431"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3B15EFC1"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539BA4CA" w14:textId="77777777" w:rsidR="000F00BA" w:rsidRPr="005F26F4" w:rsidRDefault="000F00BA" w:rsidP="000F00BA">
            <w:pPr>
              <w:keepNext/>
              <w:spacing w:after="0" w:line="240" w:lineRule="auto"/>
              <w:jc w:val="right"/>
              <w:rPr>
                <w:rFonts w:ascii="Times New Roman" w:hAnsi="Times New Roman"/>
                <w:sz w:val="20"/>
                <w:szCs w:val="20"/>
                <w:lang w:val="en-US"/>
              </w:rPr>
            </w:pPr>
          </w:p>
        </w:tc>
      </w:tr>
      <w:tr w:rsidR="000F00BA" w:rsidRPr="005F26F4" w14:paraId="263FA750" w14:textId="77777777" w:rsidTr="000F00BA">
        <w:tc>
          <w:tcPr>
            <w:tcW w:w="1284" w:type="dxa"/>
            <w:hideMark/>
          </w:tcPr>
          <w:p w14:paraId="4C6D232D" w14:textId="77777777" w:rsidR="000F00BA" w:rsidRPr="005F26F4" w:rsidRDefault="000F00BA" w:rsidP="000F00BA">
            <w:pPr>
              <w:keepNext/>
              <w:spacing w:after="0" w:line="240" w:lineRule="auto"/>
              <w:rPr>
                <w:rFonts w:ascii="Times New Roman" w:hAnsi="Times New Roman"/>
                <w:color w:val="333333"/>
                <w:sz w:val="20"/>
                <w:szCs w:val="20"/>
                <w:lang w:val="en-US"/>
              </w:rPr>
            </w:pPr>
            <w:bookmarkStart w:id="13" w:name="_GoBack" w:colFirst="7" w:colLast="7"/>
            <w:r w:rsidRPr="005F26F4">
              <w:rPr>
                <w:rFonts w:ascii="Times New Roman" w:hAnsi="Times New Roman"/>
                <w:color w:val="333333"/>
                <w:sz w:val="20"/>
                <w:szCs w:val="20"/>
                <w:lang w:val="en-US"/>
              </w:rPr>
              <w:t>DPROM</w:t>
            </w:r>
          </w:p>
        </w:tc>
        <w:tc>
          <w:tcPr>
            <w:tcW w:w="680" w:type="dxa"/>
            <w:hideMark/>
          </w:tcPr>
          <w:p w14:paraId="11EB5868"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0.02</w:t>
            </w:r>
          </w:p>
        </w:tc>
        <w:tc>
          <w:tcPr>
            <w:tcW w:w="680" w:type="dxa"/>
            <w:hideMark/>
          </w:tcPr>
          <w:p w14:paraId="0CAB4635"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-0.03</w:t>
            </w:r>
          </w:p>
        </w:tc>
        <w:tc>
          <w:tcPr>
            <w:tcW w:w="680" w:type="dxa"/>
            <w:hideMark/>
          </w:tcPr>
          <w:p w14:paraId="21B10A1D"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0.56</w:t>
            </w:r>
          </w:p>
        </w:tc>
        <w:tc>
          <w:tcPr>
            <w:tcW w:w="680" w:type="dxa"/>
            <w:hideMark/>
          </w:tcPr>
          <w:p w14:paraId="1FDDD07B"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1B93BF46"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0E1DA9F0"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230D16EF"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483591E3"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4A2A7ABF"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5AB3BD96"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3C7D1948" w14:textId="77777777" w:rsidR="000F00BA" w:rsidRPr="005F26F4" w:rsidRDefault="000F00BA" w:rsidP="000F00BA">
            <w:pPr>
              <w:keepNext/>
              <w:spacing w:after="0" w:line="240" w:lineRule="auto"/>
              <w:jc w:val="right"/>
              <w:rPr>
                <w:rFonts w:ascii="Times New Roman" w:hAnsi="Times New Roman"/>
                <w:sz w:val="20"/>
                <w:szCs w:val="20"/>
                <w:lang w:val="en-US"/>
              </w:rPr>
            </w:pPr>
          </w:p>
        </w:tc>
      </w:tr>
      <w:bookmarkEnd w:id="13"/>
      <w:tr w:rsidR="000F00BA" w:rsidRPr="005F26F4" w14:paraId="02B21638" w14:textId="77777777" w:rsidTr="000F00BA">
        <w:tc>
          <w:tcPr>
            <w:tcW w:w="1284" w:type="dxa"/>
            <w:hideMark/>
          </w:tcPr>
          <w:p w14:paraId="73027ED4"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NCERC</w:t>
            </w:r>
          </w:p>
        </w:tc>
        <w:tc>
          <w:tcPr>
            <w:tcW w:w="680" w:type="dxa"/>
            <w:hideMark/>
          </w:tcPr>
          <w:p w14:paraId="41C871E4"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-0.02</w:t>
            </w:r>
          </w:p>
        </w:tc>
        <w:tc>
          <w:tcPr>
            <w:tcW w:w="680" w:type="dxa"/>
            <w:hideMark/>
          </w:tcPr>
          <w:p w14:paraId="41C620CE"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0.08</w:t>
            </w:r>
          </w:p>
        </w:tc>
        <w:tc>
          <w:tcPr>
            <w:tcW w:w="680" w:type="dxa"/>
            <w:hideMark/>
          </w:tcPr>
          <w:p w14:paraId="68E544AB"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-0.33</w:t>
            </w:r>
          </w:p>
        </w:tc>
        <w:tc>
          <w:tcPr>
            <w:tcW w:w="680" w:type="dxa"/>
            <w:hideMark/>
          </w:tcPr>
          <w:p w14:paraId="3E88390D"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0.2</w:t>
            </w:r>
          </w:p>
        </w:tc>
        <w:tc>
          <w:tcPr>
            <w:tcW w:w="680" w:type="dxa"/>
            <w:hideMark/>
          </w:tcPr>
          <w:p w14:paraId="0B0174E7"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51EE78D7"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449EAF6A"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16BC5126"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5181D7E6"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7D447C20"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475AD534" w14:textId="77777777" w:rsidR="000F00BA" w:rsidRPr="005F26F4" w:rsidRDefault="000F00BA" w:rsidP="000F00BA">
            <w:pPr>
              <w:keepNext/>
              <w:spacing w:after="0" w:line="240" w:lineRule="auto"/>
              <w:jc w:val="right"/>
              <w:rPr>
                <w:rFonts w:ascii="Times New Roman" w:hAnsi="Times New Roman"/>
                <w:sz w:val="20"/>
                <w:szCs w:val="20"/>
                <w:lang w:val="en-US"/>
              </w:rPr>
            </w:pPr>
          </w:p>
        </w:tc>
      </w:tr>
      <w:tr w:rsidR="000F00BA" w:rsidRPr="005F26F4" w14:paraId="6C9E451E" w14:textId="77777777" w:rsidTr="000F00BA">
        <w:tc>
          <w:tcPr>
            <w:tcW w:w="1284" w:type="dxa"/>
            <w:hideMark/>
          </w:tcPr>
          <w:p w14:paraId="050B0C28"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BAHIAS</w:t>
            </w:r>
          </w:p>
        </w:tc>
        <w:tc>
          <w:tcPr>
            <w:tcW w:w="680" w:type="dxa"/>
            <w:hideMark/>
          </w:tcPr>
          <w:p w14:paraId="13DE1BA6"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0.07</w:t>
            </w:r>
          </w:p>
        </w:tc>
        <w:tc>
          <w:tcPr>
            <w:tcW w:w="680" w:type="dxa"/>
            <w:hideMark/>
          </w:tcPr>
          <w:p w14:paraId="4AD773DB"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0.05</w:t>
            </w:r>
          </w:p>
        </w:tc>
        <w:tc>
          <w:tcPr>
            <w:tcW w:w="680" w:type="dxa"/>
            <w:hideMark/>
          </w:tcPr>
          <w:p w14:paraId="46846ADE"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0.09</w:t>
            </w:r>
          </w:p>
        </w:tc>
        <w:tc>
          <w:tcPr>
            <w:tcW w:w="680" w:type="dxa"/>
            <w:hideMark/>
          </w:tcPr>
          <w:p w14:paraId="6104A1C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-0.03</w:t>
            </w:r>
          </w:p>
        </w:tc>
        <w:tc>
          <w:tcPr>
            <w:tcW w:w="680" w:type="dxa"/>
            <w:hideMark/>
          </w:tcPr>
          <w:p w14:paraId="09BE8AE3"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-0.07</w:t>
            </w:r>
          </w:p>
        </w:tc>
        <w:tc>
          <w:tcPr>
            <w:tcW w:w="680" w:type="dxa"/>
            <w:hideMark/>
          </w:tcPr>
          <w:p w14:paraId="6DE2E028"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33BE597D"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287BED19"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3543A602"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7F4470F7"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7FAEB68D" w14:textId="77777777" w:rsidR="000F00BA" w:rsidRPr="005F26F4" w:rsidRDefault="000F00BA" w:rsidP="000F00BA">
            <w:pPr>
              <w:keepNext/>
              <w:spacing w:after="0" w:line="240" w:lineRule="auto"/>
              <w:jc w:val="right"/>
              <w:rPr>
                <w:rFonts w:ascii="Times New Roman" w:hAnsi="Times New Roman"/>
                <w:sz w:val="20"/>
                <w:szCs w:val="20"/>
                <w:lang w:val="en-US"/>
              </w:rPr>
            </w:pPr>
          </w:p>
        </w:tc>
      </w:tr>
      <w:tr w:rsidR="000F00BA" w:rsidRPr="005F26F4" w14:paraId="52EF1C43" w14:textId="77777777" w:rsidTr="000F00BA">
        <w:tc>
          <w:tcPr>
            <w:tcW w:w="1284" w:type="dxa"/>
            <w:hideMark/>
          </w:tcPr>
          <w:p w14:paraId="0ECE8085"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GLP</w:t>
            </w:r>
          </w:p>
        </w:tc>
        <w:tc>
          <w:tcPr>
            <w:tcW w:w="680" w:type="dxa"/>
            <w:hideMark/>
          </w:tcPr>
          <w:p w14:paraId="23252218"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-0.04</w:t>
            </w:r>
          </w:p>
        </w:tc>
        <w:tc>
          <w:tcPr>
            <w:tcW w:w="680" w:type="dxa"/>
            <w:hideMark/>
          </w:tcPr>
          <w:p w14:paraId="6299B9E6"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-0.04</w:t>
            </w:r>
          </w:p>
        </w:tc>
        <w:tc>
          <w:tcPr>
            <w:tcW w:w="680" w:type="dxa"/>
            <w:hideMark/>
          </w:tcPr>
          <w:p w14:paraId="3E7D9BD3"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-0.09</w:t>
            </w:r>
          </w:p>
        </w:tc>
        <w:tc>
          <w:tcPr>
            <w:tcW w:w="680" w:type="dxa"/>
            <w:hideMark/>
          </w:tcPr>
          <w:p w14:paraId="73CFBD60"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-0.08</w:t>
            </w:r>
          </w:p>
        </w:tc>
        <w:tc>
          <w:tcPr>
            <w:tcW w:w="680" w:type="dxa"/>
            <w:hideMark/>
          </w:tcPr>
          <w:p w14:paraId="03A0EFE9"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w:t>
            </w:r>
          </w:p>
        </w:tc>
        <w:tc>
          <w:tcPr>
            <w:tcW w:w="680" w:type="dxa"/>
            <w:hideMark/>
          </w:tcPr>
          <w:p w14:paraId="50205DA3"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0.03</w:t>
            </w:r>
          </w:p>
        </w:tc>
        <w:tc>
          <w:tcPr>
            <w:tcW w:w="680" w:type="dxa"/>
            <w:hideMark/>
          </w:tcPr>
          <w:p w14:paraId="04B52590"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346EB5A4"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163B347D"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78596610"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18AD7F08" w14:textId="77777777" w:rsidR="000F00BA" w:rsidRPr="005F26F4" w:rsidRDefault="000F00BA" w:rsidP="000F00BA">
            <w:pPr>
              <w:keepNext/>
              <w:spacing w:after="0" w:line="240" w:lineRule="auto"/>
              <w:jc w:val="right"/>
              <w:rPr>
                <w:rFonts w:ascii="Times New Roman" w:hAnsi="Times New Roman"/>
                <w:sz w:val="20"/>
                <w:szCs w:val="20"/>
                <w:lang w:val="en-US"/>
              </w:rPr>
            </w:pPr>
          </w:p>
        </w:tc>
      </w:tr>
      <w:tr w:rsidR="000F00BA" w:rsidRPr="005F26F4" w14:paraId="408B5D59" w14:textId="77777777" w:rsidTr="000F00BA">
        <w:tc>
          <w:tcPr>
            <w:tcW w:w="1284" w:type="dxa"/>
            <w:hideMark/>
          </w:tcPr>
          <w:p w14:paraId="3A1C25AF"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GNV</w:t>
            </w:r>
          </w:p>
        </w:tc>
        <w:tc>
          <w:tcPr>
            <w:tcW w:w="680" w:type="dxa"/>
            <w:hideMark/>
          </w:tcPr>
          <w:p w14:paraId="64DE8144"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-0.02</w:t>
            </w:r>
          </w:p>
        </w:tc>
        <w:tc>
          <w:tcPr>
            <w:tcW w:w="680" w:type="dxa"/>
            <w:hideMark/>
          </w:tcPr>
          <w:p w14:paraId="4711ED9C"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-0.02</w:t>
            </w:r>
          </w:p>
        </w:tc>
        <w:tc>
          <w:tcPr>
            <w:tcW w:w="680" w:type="dxa"/>
            <w:hideMark/>
          </w:tcPr>
          <w:p w14:paraId="15D566B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-0.12</w:t>
            </w:r>
          </w:p>
        </w:tc>
        <w:tc>
          <w:tcPr>
            <w:tcW w:w="680" w:type="dxa"/>
            <w:hideMark/>
          </w:tcPr>
          <w:p w14:paraId="36D17928"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0.02</w:t>
            </w:r>
          </w:p>
        </w:tc>
        <w:tc>
          <w:tcPr>
            <w:tcW w:w="680" w:type="dxa"/>
            <w:hideMark/>
          </w:tcPr>
          <w:p w14:paraId="1D21B9BE"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0.15</w:t>
            </w:r>
          </w:p>
        </w:tc>
        <w:tc>
          <w:tcPr>
            <w:tcW w:w="680" w:type="dxa"/>
            <w:hideMark/>
          </w:tcPr>
          <w:p w14:paraId="31DF6911"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-0.01</w:t>
            </w:r>
          </w:p>
        </w:tc>
        <w:tc>
          <w:tcPr>
            <w:tcW w:w="680" w:type="dxa"/>
            <w:hideMark/>
          </w:tcPr>
          <w:p w14:paraId="62CE901C"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0.53</w:t>
            </w:r>
          </w:p>
        </w:tc>
        <w:tc>
          <w:tcPr>
            <w:tcW w:w="680" w:type="dxa"/>
            <w:hideMark/>
          </w:tcPr>
          <w:p w14:paraId="297B6155"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7D51C793"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45626077" w14:textId="77777777" w:rsidR="000F00BA" w:rsidRPr="005F26F4" w:rsidRDefault="000F00BA" w:rsidP="000F00BA">
            <w:pPr>
              <w:keepNext/>
              <w:spacing w:after="0" w:line="240" w:lineRule="auto"/>
              <w:jc w:val="right"/>
              <w:rPr>
                <w:rFonts w:ascii="Times New Roman" w:hAnsi="Times New Roman"/>
                <w:sz w:val="20"/>
                <w:szCs w:val="20"/>
                <w:lang w:val="en-US"/>
              </w:rPr>
            </w:pPr>
          </w:p>
        </w:tc>
        <w:tc>
          <w:tcPr>
            <w:tcW w:w="680" w:type="dxa"/>
            <w:hideMark/>
          </w:tcPr>
          <w:p w14:paraId="6A1B9E0E" w14:textId="77777777" w:rsidR="000F00BA" w:rsidRPr="005F26F4" w:rsidRDefault="000F00BA" w:rsidP="000F00BA">
            <w:pPr>
              <w:keepNext/>
              <w:spacing w:after="0" w:line="240" w:lineRule="auto"/>
              <w:jc w:val="right"/>
              <w:rPr>
                <w:rFonts w:ascii="Times New Roman" w:hAnsi="Times New Roman"/>
                <w:sz w:val="20"/>
                <w:szCs w:val="20"/>
                <w:lang w:val="en-US"/>
              </w:rPr>
            </w:pPr>
          </w:p>
        </w:tc>
      </w:tr>
      <w:tr w:rsidR="000F00BA" w:rsidRPr="005F26F4" w14:paraId="694D9686" w14:textId="77777777" w:rsidTr="000F00BA">
        <w:tc>
          <w:tcPr>
            <w:tcW w:w="1284" w:type="dxa"/>
            <w:hideMark/>
          </w:tcPr>
          <w:p w14:paraId="3D88E624"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MECANICA</w:t>
            </w:r>
          </w:p>
        </w:tc>
        <w:tc>
          <w:tcPr>
            <w:tcW w:w="680" w:type="dxa"/>
            <w:hideMark/>
          </w:tcPr>
          <w:p w14:paraId="47F1BF81"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0.09</w:t>
            </w:r>
          </w:p>
        </w:tc>
        <w:tc>
          <w:tcPr>
            <w:tcW w:w="680" w:type="dxa"/>
            <w:hideMark/>
          </w:tcPr>
          <w:p w14:paraId="204C9C3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0.08</w:t>
            </w:r>
          </w:p>
        </w:tc>
        <w:tc>
          <w:tcPr>
            <w:tcW w:w="680" w:type="dxa"/>
            <w:hideMark/>
          </w:tcPr>
          <w:p w14:paraId="3610E5F5"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-0.04</w:t>
            </w:r>
          </w:p>
        </w:tc>
        <w:tc>
          <w:tcPr>
            <w:tcW w:w="680" w:type="dxa"/>
            <w:hideMark/>
          </w:tcPr>
          <w:p w14:paraId="4152BFE5"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0.04</w:t>
            </w:r>
          </w:p>
        </w:tc>
        <w:tc>
          <w:tcPr>
            <w:tcW w:w="680" w:type="dxa"/>
            <w:hideMark/>
          </w:tcPr>
          <w:p w14:paraId="1E989081"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0.05</w:t>
            </w:r>
          </w:p>
        </w:tc>
        <w:tc>
          <w:tcPr>
            <w:tcW w:w="680" w:type="dxa"/>
            <w:hideMark/>
          </w:tcPr>
          <w:p w14:paraId="5DEC764F"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0.17</w:t>
            </w:r>
          </w:p>
        </w:tc>
        <w:tc>
          <w:tcPr>
            <w:tcW w:w="680" w:type="dxa"/>
            <w:hideMark/>
          </w:tcPr>
          <w:p w14:paraId="53839F8C"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-0.06</w:t>
            </w:r>
          </w:p>
        </w:tc>
        <w:tc>
          <w:tcPr>
            <w:tcW w:w="680" w:type="dxa"/>
            <w:hideMark/>
          </w:tcPr>
          <w:p w14:paraId="7B8C987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-0.02</w:t>
            </w:r>
          </w:p>
        </w:tc>
        <w:tc>
          <w:tcPr>
            <w:tcW w:w="680" w:type="dxa"/>
            <w:hideMark/>
          </w:tcPr>
          <w:p w14:paraId="5BC13E68"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1F83F253"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c>
          <w:tcPr>
            <w:tcW w:w="680" w:type="dxa"/>
            <w:hideMark/>
          </w:tcPr>
          <w:p w14:paraId="23F42C20" w14:textId="77777777" w:rsidR="000F00BA" w:rsidRPr="005F26F4" w:rsidRDefault="000F00BA" w:rsidP="000F00BA">
            <w:pPr>
              <w:keepNext/>
              <w:spacing w:after="0" w:line="240" w:lineRule="auto"/>
              <w:jc w:val="right"/>
              <w:rPr>
                <w:rFonts w:ascii="Times New Roman" w:hAnsi="Times New Roman"/>
                <w:sz w:val="20"/>
                <w:szCs w:val="20"/>
                <w:lang w:val="en-US"/>
              </w:rPr>
            </w:pPr>
          </w:p>
        </w:tc>
      </w:tr>
      <w:tr w:rsidR="000F00BA" w:rsidRPr="005F26F4" w14:paraId="7400EF36" w14:textId="77777777" w:rsidTr="000F00BA">
        <w:tc>
          <w:tcPr>
            <w:tcW w:w="1284" w:type="dxa"/>
            <w:hideMark/>
          </w:tcPr>
          <w:p w14:paraId="609476C8"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LAVADO</w:t>
            </w:r>
          </w:p>
        </w:tc>
        <w:tc>
          <w:tcPr>
            <w:tcW w:w="680" w:type="dxa"/>
            <w:hideMark/>
          </w:tcPr>
          <w:p w14:paraId="3A9DCA45"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0.04</w:t>
            </w:r>
          </w:p>
        </w:tc>
        <w:tc>
          <w:tcPr>
            <w:tcW w:w="680" w:type="dxa"/>
            <w:hideMark/>
          </w:tcPr>
          <w:p w14:paraId="52659D5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0.12</w:t>
            </w:r>
          </w:p>
        </w:tc>
        <w:tc>
          <w:tcPr>
            <w:tcW w:w="680" w:type="dxa"/>
            <w:hideMark/>
          </w:tcPr>
          <w:p w14:paraId="1F512DFB"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w:t>
            </w:r>
          </w:p>
        </w:tc>
        <w:tc>
          <w:tcPr>
            <w:tcW w:w="680" w:type="dxa"/>
            <w:hideMark/>
          </w:tcPr>
          <w:p w14:paraId="085DABD6"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0.05</w:t>
            </w:r>
          </w:p>
        </w:tc>
        <w:tc>
          <w:tcPr>
            <w:tcW w:w="680" w:type="dxa"/>
            <w:hideMark/>
          </w:tcPr>
          <w:p w14:paraId="0C95E65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0.09</w:t>
            </w:r>
          </w:p>
        </w:tc>
        <w:tc>
          <w:tcPr>
            <w:tcW w:w="680" w:type="dxa"/>
            <w:hideMark/>
          </w:tcPr>
          <w:p w14:paraId="6DB18664"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0.11</w:t>
            </w:r>
          </w:p>
        </w:tc>
        <w:tc>
          <w:tcPr>
            <w:tcW w:w="680" w:type="dxa"/>
            <w:hideMark/>
          </w:tcPr>
          <w:p w14:paraId="4E7DA9C8"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-0.11</w:t>
            </w:r>
          </w:p>
        </w:tc>
        <w:tc>
          <w:tcPr>
            <w:tcW w:w="680" w:type="dxa"/>
            <w:hideMark/>
          </w:tcPr>
          <w:p w14:paraId="45E7367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-0.08</w:t>
            </w:r>
          </w:p>
        </w:tc>
        <w:tc>
          <w:tcPr>
            <w:tcW w:w="680" w:type="dxa"/>
            <w:hideMark/>
          </w:tcPr>
          <w:p w14:paraId="5220969E"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0.7</w:t>
            </w:r>
          </w:p>
        </w:tc>
        <w:tc>
          <w:tcPr>
            <w:tcW w:w="680" w:type="dxa"/>
            <w:hideMark/>
          </w:tcPr>
          <w:p w14:paraId="473F181F"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c>
          <w:tcPr>
            <w:tcW w:w="680" w:type="dxa"/>
            <w:hideMark/>
          </w:tcPr>
          <w:p w14:paraId="5A8D263E"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p>
        </w:tc>
      </w:tr>
      <w:tr w:rsidR="000F00BA" w:rsidRPr="005F26F4" w14:paraId="1F6505A5" w14:textId="77777777" w:rsidTr="000F00BA">
        <w:tc>
          <w:tcPr>
            <w:tcW w:w="1284" w:type="dxa"/>
            <w:hideMark/>
          </w:tcPr>
          <w:p w14:paraId="62E5F0E3"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TIENDA</w:t>
            </w:r>
          </w:p>
        </w:tc>
        <w:tc>
          <w:tcPr>
            <w:tcW w:w="680" w:type="dxa"/>
            <w:hideMark/>
          </w:tcPr>
          <w:p w14:paraId="2A57217D"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0.18</w:t>
            </w:r>
          </w:p>
        </w:tc>
        <w:tc>
          <w:tcPr>
            <w:tcW w:w="680" w:type="dxa"/>
            <w:hideMark/>
          </w:tcPr>
          <w:p w14:paraId="6BAC76E6"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0.16</w:t>
            </w:r>
          </w:p>
        </w:tc>
        <w:tc>
          <w:tcPr>
            <w:tcW w:w="680" w:type="dxa"/>
            <w:hideMark/>
          </w:tcPr>
          <w:p w14:paraId="525A4220"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-0.03</w:t>
            </w:r>
          </w:p>
        </w:tc>
        <w:tc>
          <w:tcPr>
            <w:tcW w:w="680" w:type="dxa"/>
            <w:hideMark/>
          </w:tcPr>
          <w:p w14:paraId="6BA7A71B"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0.01</w:t>
            </w:r>
          </w:p>
        </w:tc>
        <w:tc>
          <w:tcPr>
            <w:tcW w:w="680" w:type="dxa"/>
            <w:hideMark/>
          </w:tcPr>
          <w:p w14:paraId="19C29CB7"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0.12</w:t>
            </w:r>
          </w:p>
        </w:tc>
        <w:tc>
          <w:tcPr>
            <w:tcW w:w="680" w:type="dxa"/>
            <w:hideMark/>
          </w:tcPr>
          <w:p w14:paraId="5A02CD27"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0.26</w:t>
            </w:r>
          </w:p>
        </w:tc>
        <w:tc>
          <w:tcPr>
            <w:tcW w:w="680" w:type="dxa"/>
            <w:hideMark/>
          </w:tcPr>
          <w:p w14:paraId="3885459B"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0.08</w:t>
            </w:r>
          </w:p>
        </w:tc>
        <w:tc>
          <w:tcPr>
            <w:tcW w:w="680" w:type="dxa"/>
            <w:hideMark/>
          </w:tcPr>
          <w:p w14:paraId="6BCC2F7C"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0.21</w:t>
            </w:r>
          </w:p>
        </w:tc>
        <w:tc>
          <w:tcPr>
            <w:tcW w:w="680" w:type="dxa"/>
            <w:hideMark/>
          </w:tcPr>
          <w:p w14:paraId="1346A2A2"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0.3</w:t>
            </w:r>
          </w:p>
        </w:tc>
        <w:tc>
          <w:tcPr>
            <w:tcW w:w="680" w:type="dxa"/>
            <w:hideMark/>
          </w:tcPr>
          <w:p w14:paraId="17D9DAA0"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0.2</w:t>
            </w:r>
          </w:p>
        </w:tc>
        <w:tc>
          <w:tcPr>
            <w:tcW w:w="680" w:type="dxa"/>
            <w:hideMark/>
          </w:tcPr>
          <w:p w14:paraId="1BA4E154"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1</w:t>
            </w:r>
          </w:p>
        </w:tc>
      </w:tr>
      <w:tr w:rsidR="000F00BA" w:rsidRPr="005F26F4" w14:paraId="29539537" w14:textId="77777777" w:rsidTr="000F00BA">
        <w:tc>
          <w:tcPr>
            <w:tcW w:w="1284" w:type="dxa"/>
            <w:hideMark/>
          </w:tcPr>
          <w:p w14:paraId="01965247" w14:textId="77777777" w:rsidR="000F00BA" w:rsidRPr="005F26F4" w:rsidRDefault="000F00BA" w:rsidP="000F00BA">
            <w:pPr>
              <w:keepNext/>
              <w:spacing w:after="0" w:line="240" w:lineRule="auto"/>
              <w:rPr>
                <w:rFonts w:ascii="Times New Roman" w:hAnsi="Times New Roman"/>
                <w:color w:val="333333"/>
                <w:sz w:val="20"/>
                <w:szCs w:val="20"/>
                <w:lang w:val="en-US"/>
              </w:rPr>
            </w:pPr>
            <w:r w:rsidRPr="005F26F4">
              <w:rPr>
                <w:rFonts w:ascii="Times New Roman" w:hAnsi="Times New Roman"/>
                <w:color w:val="333333"/>
                <w:sz w:val="20"/>
                <w:szCs w:val="20"/>
                <w:lang w:val="en-US"/>
              </w:rPr>
              <w:t>CAJERO</w:t>
            </w:r>
          </w:p>
        </w:tc>
        <w:tc>
          <w:tcPr>
            <w:tcW w:w="680" w:type="dxa"/>
            <w:hideMark/>
          </w:tcPr>
          <w:p w14:paraId="7EDF1E45"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0.18</w:t>
            </w:r>
          </w:p>
        </w:tc>
        <w:tc>
          <w:tcPr>
            <w:tcW w:w="680" w:type="dxa"/>
            <w:hideMark/>
          </w:tcPr>
          <w:p w14:paraId="50992AE9"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0.15</w:t>
            </w:r>
          </w:p>
        </w:tc>
        <w:tc>
          <w:tcPr>
            <w:tcW w:w="680" w:type="dxa"/>
            <w:hideMark/>
          </w:tcPr>
          <w:p w14:paraId="1F101CF7"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-0.05</w:t>
            </w:r>
          </w:p>
        </w:tc>
        <w:tc>
          <w:tcPr>
            <w:tcW w:w="680" w:type="dxa"/>
            <w:hideMark/>
          </w:tcPr>
          <w:p w14:paraId="4833EDEC"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-0.04</w:t>
            </w:r>
          </w:p>
        </w:tc>
        <w:tc>
          <w:tcPr>
            <w:tcW w:w="680" w:type="dxa"/>
            <w:hideMark/>
          </w:tcPr>
          <w:p w14:paraId="0B3B4770"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0.04</w:t>
            </w:r>
          </w:p>
        </w:tc>
        <w:tc>
          <w:tcPr>
            <w:tcW w:w="680" w:type="dxa"/>
            <w:hideMark/>
          </w:tcPr>
          <w:p w14:paraId="7C3038D9"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0.27</w:t>
            </w:r>
          </w:p>
        </w:tc>
        <w:tc>
          <w:tcPr>
            <w:tcW w:w="680" w:type="dxa"/>
            <w:hideMark/>
          </w:tcPr>
          <w:p w14:paraId="6101E0A1"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0.17</w:t>
            </w:r>
          </w:p>
        </w:tc>
        <w:tc>
          <w:tcPr>
            <w:tcW w:w="680" w:type="dxa"/>
            <w:hideMark/>
          </w:tcPr>
          <w:p w14:paraId="20136DD0"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0.14</w:t>
            </w:r>
          </w:p>
        </w:tc>
        <w:tc>
          <w:tcPr>
            <w:tcW w:w="680" w:type="dxa"/>
            <w:hideMark/>
          </w:tcPr>
          <w:p w14:paraId="24687891"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0.19</w:t>
            </w:r>
          </w:p>
        </w:tc>
        <w:tc>
          <w:tcPr>
            <w:tcW w:w="680" w:type="dxa"/>
            <w:hideMark/>
          </w:tcPr>
          <w:p w14:paraId="56E60866"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0.12</w:t>
            </w:r>
          </w:p>
        </w:tc>
        <w:tc>
          <w:tcPr>
            <w:tcW w:w="680" w:type="dxa"/>
            <w:hideMark/>
          </w:tcPr>
          <w:p w14:paraId="51DD13F6" w14:textId="77777777" w:rsidR="000F00BA" w:rsidRPr="005F26F4" w:rsidRDefault="000F00BA" w:rsidP="000F00BA">
            <w:pPr>
              <w:keepNext/>
              <w:spacing w:after="0" w:line="240" w:lineRule="auto"/>
              <w:jc w:val="right"/>
              <w:rPr>
                <w:rFonts w:ascii="Times New Roman" w:hAnsi="Times New Roman"/>
                <w:color w:val="333333"/>
                <w:sz w:val="20"/>
                <w:szCs w:val="20"/>
                <w:lang w:val="en-US"/>
              </w:rPr>
            </w:pPr>
            <w:r w:rsidRPr="005F26F4">
              <w:rPr>
                <w:rFonts w:ascii="Times New Roman" w:hAnsi="Times New Roman"/>
                <w:color w:val="333333"/>
                <w:sz w:val="20"/>
                <w:szCs w:val="20"/>
                <w:lang w:val="en-US"/>
              </w:rPr>
              <w:t>0.51</w:t>
            </w:r>
          </w:p>
        </w:tc>
      </w:tr>
    </w:tbl>
    <w:p w14:paraId="40A3F69D" w14:textId="5D13B643" w:rsidR="00DA5659" w:rsidRDefault="00DA5659" w:rsidP="00B838A8"/>
    <w:p w14:paraId="58440759" w14:textId="77777777" w:rsidR="00DA5659" w:rsidRDefault="00DA5659" w:rsidP="00B838A8"/>
    <w:p w14:paraId="7BBF7FDE" w14:textId="03CD4EA0" w:rsidR="006507EA" w:rsidRDefault="006507EA" w:rsidP="006507EA">
      <w:pPr>
        <w:pStyle w:val="Ttulo2"/>
      </w:pPr>
      <w:r>
        <w:t xml:space="preserve">Regresión a </w:t>
      </w:r>
      <w:commentRangeStart w:id="14"/>
      <w:r>
        <w:t>estimar</w:t>
      </w:r>
      <w:commentRangeEnd w:id="14"/>
      <w:r w:rsidR="00CB4A95">
        <w:rPr>
          <w:rStyle w:val="Refdecomentario"/>
          <w:b w:val="0"/>
        </w:rPr>
        <w:commentReference w:id="14"/>
      </w:r>
    </w:p>
    <w:p w14:paraId="00595A98" w14:textId="7B6CDBBE" w:rsidR="00CF2550" w:rsidRDefault="00CF2550" w:rsidP="00CB4A95">
      <w:r>
        <w:t xml:space="preserve">Se quiere determinar si los precios de combustibles están asociados con alguna medida de concentración, agrupamiento espacial de estaciones del mismo dueño, controlando por características de las estaciones y del distrito donde se encuentran. </w:t>
      </w:r>
    </w:p>
    <w:p w14:paraId="5CCFA546" w14:textId="72C4BB7B" w:rsidR="003A5534" w:rsidRDefault="00CF2550" w:rsidP="00CB4A95">
      <w:r>
        <w:t>En primer lugar, se debe</w:t>
      </w:r>
      <w:r w:rsidR="00CB4A95">
        <w:t xml:space="preserve"> determinar si existe la necesidad de utilizar un modelo de econometría espacial, </w:t>
      </w:r>
      <w:r>
        <w:t>considerando</w:t>
      </w:r>
      <w:r w:rsidR="00CB4A95">
        <w:t xml:space="preserve"> que el precio del combustible en una estación puede estar relacionado con el precio de estaciones adyacentes. Si se considera necesario tener en cuenta la interacción espacial, debemos escoger </w:t>
      </w:r>
      <w:r w:rsidR="003A5534">
        <w:t xml:space="preserve">un modelo entre los mencionados en </w:t>
      </w:r>
      <w:r w:rsidR="003A5534">
        <w:fldChar w:fldCharType="begin"/>
      </w:r>
      <w:r w:rsidR="003A5534">
        <w:instrText xml:space="preserve"> REF _Ref5724450 \n \h </w:instrText>
      </w:r>
      <w:r w:rsidR="003A5534">
        <w:fldChar w:fldCharType="separate"/>
      </w:r>
      <w:r w:rsidR="003A5534">
        <w:t>Capítulo II</w:t>
      </w:r>
      <w:r w:rsidR="003A5534">
        <w:fldChar w:fldCharType="end"/>
      </w:r>
      <w:r w:rsidR="003A5534">
        <w:t xml:space="preserve"> sección </w:t>
      </w:r>
      <w:r w:rsidR="003A5534">
        <w:fldChar w:fldCharType="begin"/>
      </w:r>
      <w:r w:rsidR="003A5534">
        <w:instrText xml:space="preserve"> REF _Ref5724351 \n \h </w:instrText>
      </w:r>
      <w:r w:rsidR="003A5534">
        <w:fldChar w:fldCharType="separate"/>
      </w:r>
      <w:r w:rsidR="003A5534">
        <w:t>3.2</w:t>
      </w:r>
      <w:r w:rsidR="003A5534">
        <w:fldChar w:fldCharType="end"/>
      </w:r>
      <w:r w:rsidR="003A5534">
        <w:t xml:space="preserve">. Para ello, </w:t>
      </w:r>
      <w:proofErr w:type="spellStart"/>
      <w:r w:rsidR="003A5534">
        <w:t>Elhorst</w:t>
      </w:r>
      <w:proofErr w:type="spellEnd"/>
      <w:r w:rsidR="003A5534">
        <w:t xml:space="preserve"> </w:t>
      </w:r>
      <w:r w:rsidR="003A5534">
        <w:fldChar w:fldCharType="begin"/>
      </w:r>
      <w:r w:rsidR="003A5534">
        <w:instrText xml:space="preserve"> ADDIN ZOTERO_ITEM CSL_CITATION {"citationID":"Q5TQFdGe","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libro.","URL":"https://doi.org/10.1080/17421770903541772","DOI":"10.1080/17421770903541772","ISSN":"1742-1772","shortTitle":"Applied Spatial Econometrics","author":[{"family":"Elhorst","given":"J. Paul"}],"issued":{"date-parts":[["2010",3,1]]},"accessed":{"date-parts":[["2019",4,7]]}},"suppress-author":true}],"schema":"https://github.com/citation-style-language/schema/raw/master/csl-citation.json"} </w:instrText>
      </w:r>
      <w:r w:rsidR="003A5534">
        <w:fldChar w:fldCharType="separate"/>
      </w:r>
      <w:r w:rsidR="003A5534" w:rsidRPr="003A5534">
        <w:rPr>
          <w:rFonts w:ascii="Times New Roman" w:hAnsi="Times New Roman"/>
        </w:rPr>
        <w:t>(2010)</w:t>
      </w:r>
      <w:r w:rsidR="003A5534">
        <w:fldChar w:fldCharType="end"/>
      </w:r>
      <w:r w:rsidR="003A5534">
        <w:t xml:space="preserve"> propone un procedimiento sucesivo </w:t>
      </w:r>
      <w:r>
        <w:t>que será adaptado para la presente aplicación</w:t>
      </w:r>
    </w:p>
    <w:p w14:paraId="690C8086" w14:textId="1DC30338" w:rsidR="00ED072A" w:rsidRDefault="00CF2550" w:rsidP="00CB4A95">
      <w:r>
        <w:t>Primero, estimamos</w:t>
      </w:r>
      <w:r w:rsidR="003A5534">
        <w:t xml:space="preserve"> el modelo por OLS y </w:t>
      </w:r>
      <w:r>
        <w:t>realizamos</w:t>
      </w:r>
      <w:r w:rsidR="003A5534">
        <w:t xml:space="preserve"> las pruebas robustas de multiplicador de </w:t>
      </w:r>
      <w:proofErr w:type="spellStart"/>
      <w:r w:rsidR="003A5534">
        <w:t>Lagrange</w:t>
      </w:r>
      <w:proofErr w:type="spellEnd"/>
      <w:r w:rsidR="003A5534">
        <w:t xml:space="preserve"> </w:t>
      </w:r>
      <w:r w:rsidR="002215E6">
        <w:t xml:space="preserve">(LM) </w:t>
      </w:r>
      <w:r w:rsidR="003A5534">
        <w:t xml:space="preserve">propuestas por </w:t>
      </w:r>
      <w:proofErr w:type="spellStart"/>
      <w:r w:rsidR="003A5534">
        <w:t>Anselin</w:t>
      </w:r>
      <w:proofErr w:type="spellEnd"/>
      <w:r w:rsidR="003A5534">
        <w:t xml:space="preserve"> </w:t>
      </w:r>
      <w:r w:rsidR="003A5534">
        <w:rPr>
          <w:i/>
        </w:rPr>
        <w:t xml:space="preserve">et al. </w:t>
      </w:r>
      <w:r w:rsidR="003A5534">
        <w:fldChar w:fldCharType="begin"/>
      </w:r>
      <w:r w:rsidR="003A5534">
        <w:instrText xml:space="preserve"> ADDIN ZOTERO_ITEM CSL_CITATION {"citationID":"ccNGPU4n","properties":{"formattedCitation":"(1996)","plainCitation":"(1996)","noteIndex":0},"citationItems":[{"id":1088,"uris":["http://zotero.org/groups/2269288/items/6FTLR3FJ"],"uri":["http://zotero.org/groups/2269288/items/6FTLR3FJ"],"itemData":{"id":1088,"type":"article-journal","title":"Simple diagnostic tests for spatial dependence","container-title":"Regional Science and Urban Economics","page":"77-104","volume":"26","issue":"1","source":"ScienceDirect","abstract":"In this paper we propose simple diagnostic tests, based on ordinary least-squares (OLS) residuals, for spatial error autocorrelation in the presence of a spatially lagged dependent variable and for spatial lag dependence in the presence of spatial error autocorrelation, applying the modified Lagrange multiplier (LM) test developed by Bera and Yoon (Econometric Theory, 1993, 9, 649–658). Our new tests may be viewed as computationally simple and robust alternatives to some existing procedures in spatial econometrics. We provide empirical illustrations to demonstrate the usefulness of the proposed tests. The finite sample size and power performance of the tests are also investigated through a Monte Carlo study. The results indicate that the adjusted LM tests have good finite sample properties. In addition, they prove to be more suitable for the identification of the source of dependence (lag or error) than their unadjusted counterparts.","URL":"http://www.sciencedirect.com/science/article/pii/0166046295021116","DOI":"10.1016/0166-0462(95)02111-6","ISSN":"0166-0462","journalAbbreviation":"Regional Science and Urban Economics","author":[{"family":"Anselin","given":"Luc"},{"family":"Bera","given":"Anil K."},{"family":"Florax","given":"Raymond"},{"family":"Yoon","given":"Mann J."}],"issued":{"date-parts":[["1996",2,1]]},"accessed":{"date-parts":[["2019",4,9]]}},"suppress-author":true}],"schema":"https://github.com/citation-style-language/schema/raw/master/csl-citation.json"} </w:instrText>
      </w:r>
      <w:r w:rsidR="003A5534">
        <w:fldChar w:fldCharType="separate"/>
      </w:r>
      <w:r w:rsidR="003A5534" w:rsidRPr="003A5534">
        <w:rPr>
          <w:rFonts w:ascii="Times New Roman" w:hAnsi="Times New Roman"/>
        </w:rPr>
        <w:t>(1996)</w:t>
      </w:r>
      <w:r w:rsidR="003A5534">
        <w:fldChar w:fldCharType="end"/>
      </w:r>
      <w:r w:rsidR="003A5534">
        <w:t xml:space="preserve">. Esta prueba utiliza los residuos de la regresión estimada y sigue una distribución </w:t>
      </w:r>
      <w:proofErr w:type="spellStart"/>
      <w:r w:rsidR="003A5534">
        <w:t>chi</w:t>
      </w:r>
      <w:proofErr w:type="spellEnd"/>
      <w:r w:rsidR="003A5534">
        <w:t>-cuadrado con un grado de libertad.</w:t>
      </w:r>
      <w:r w:rsidR="00ED072A">
        <w:t xml:space="preserve"> La ecuación a estimar por OLS es la siguiente:</w:t>
      </w:r>
    </w:p>
    <w:p w14:paraId="7A77764F" w14:textId="2EE5123B" w:rsidR="003A5534" w:rsidRDefault="000F00BA" w:rsidP="00AF6545">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t</m:t>
              </m:r>
            </m:sub>
          </m:sSub>
          <m:sSub>
            <m:sSubPr>
              <m:ctrlPr>
                <w:rPr>
                  <w:rFonts w:ascii="Cambria Math" w:hAnsi="Cambria Math"/>
                  <w:i/>
                </w:rPr>
              </m:ctrlPr>
            </m:sSubPr>
            <m:e>
              <m:r>
                <w:rPr>
                  <w:rFonts w:ascii="Cambria Math" w:hAnsi="Cambria Math"/>
                </w:rPr>
                <m:t>X</m:t>
              </m:r>
            </m:e>
            <m:sub>
              <m:r>
                <w:rPr>
                  <w:rFonts w:ascii="Cambria Math" w:hAnsi="Cambria Math"/>
                </w:rPr>
                <m:t>it</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it</m:t>
              </m:r>
            </m:sub>
          </m:sSub>
        </m:oMath>
      </m:oMathPara>
    </w:p>
    <w:p w14:paraId="40525E39" w14:textId="5C2ADCF8" w:rsidR="003A5534" w:rsidRDefault="002215E6" w:rsidP="00CB4A95">
      <w:r>
        <w:lastRenderedPageBreak/>
        <w:t xml:space="preserve">Donde </w:t>
      </w:r>
      <m:oMath>
        <m:sSub>
          <m:sSubPr>
            <m:ctrlPr>
              <w:rPr>
                <w:rFonts w:ascii="Cambria Math" w:hAnsi="Cambria Math"/>
                <w:i/>
              </w:rPr>
            </m:ctrlPr>
          </m:sSubPr>
          <m:e>
            <m:r>
              <w:rPr>
                <w:rFonts w:ascii="Cambria Math" w:hAnsi="Cambria Math"/>
              </w:rPr>
              <m:t>p</m:t>
            </m:r>
          </m:e>
          <m:sub>
            <m:r>
              <w:rPr>
                <w:rFonts w:ascii="Cambria Math" w:hAnsi="Cambria Math"/>
              </w:rPr>
              <m:t>it</m:t>
            </m:r>
          </m:sub>
        </m:sSub>
      </m:oMath>
      <w:r>
        <w:t xml:space="preserve"> es el precio del combustible en la estación </w:t>
      </w:r>
      <m:oMath>
        <m:r>
          <w:rPr>
            <w:rFonts w:ascii="Cambria Math" w:hAnsi="Cambria Math"/>
          </w:rPr>
          <m:t>i</m:t>
        </m:r>
      </m:oMath>
      <w:r>
        <w:t xml:space="preserve"> en el periodo </w:t>
      </w:r>
      <m:oMath>
        <m:r>
          <w:rPr>
            <w:rFonts w:ascii="Cambria Math" w:hAnsi="Cambria Math"/>
          </w:rPr>
          <m:t>t</m:t>
        </m:r>
      </m:oMath>
      <w:r>
        <w:t xml:space="preserve"> (se realizan las mismas estimaciones para diésel y gasohol de 90 octanos),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es la constante en el período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t xml:space="preserve"> contiene las variables descritas en el apartado anterior.</w:t>
      </w:r>
    </w:p>
    <w:p w14:paraId="736C01C3" w14:textId="5412502D" w:rsidR="002215E6" w:rsidRPr="00B838A8" w:rsidRDefault="002215E6" w:rsidP="00CB4A95">
      <w:pPr>
        <w:rPr>
          <w:lang w:val="en-US"/>
        </w:rPr>
      </w:pPr>
      <w:proofErr w:type="spellStart"/>
      <w:r w:rsidRPr="00B838A8">
        <w:rPr>
          <w:lang w:val="en-US"/>
        </w:rPr>
        <w:t>Elhorst</w:t>
      </w:r>
      <w:proofErr w:type="spellEnd"/>
      <w:r w:rsidRPr="00B838A8">
        <w:rPr>
          <w:lang w:val="en-US"/>
        </w:rPr>
        <w:t xml:space="preserve"> </w:t>
      </w:r>
      <w:r w:rsidRPr="00CF2550">
        <w:fldChar w:fldCharType="begin"/>
      </w:r>
      <w:r w:rsidR="00AF6545" w:rsidRPr="00B838A8">
        <w:rPr>
          <w:lang w:val="en-US"/>
        </w:rPr>
        <w:instrText xml:space="preserve"> ADDIN ZOTERO_ITEM CSL_CITATION {"citationID":"GYsm2nh9","properties":{"formattedCitation":"(2010)","plainCitation":"(2010)","noteIndex":0},"citationItems":[{"id":1068,"uris":["http://zotero.org/groups/2269288/items/Z6W4LAXW"],"uri":["http://zotero.org/groups/2269288/items/Z6W4LAXW"],"itemData":{"id":1068,"type":"article-journal","title":"Applied Spatial Econometrics: Raising the Bar","container-title":"Spatial Economic Analysis","page":"9-28","volume":"5","issue":"1","source":"Taylor and Francis+NEJM","abstract":"This paper places the key issues and implications of the new ‘introductory’ book on spatial econometrics by James LeSage &amp; Kelley Pace (2009) in a broader perspective: the argument in favour of the spatial Durbin model, the use of indirect effects as a more valid basis for testing whether spatial spillovers are significant, the use of Bayesian posterior model probabilities to determine which spatial weights matrix best describes the data, and the book's contribution to the literature on spatio-temporal models. The main conclusion is that the state of the art of applied spatial econometrics has taken a step change with the publication of this book. Relever le niveau de l'économetrie spatial appliquée RÉSUMÉ La présente communication place les principales questions et implications du nouvel ouvrage d'introduction sur l'économétries spatiale de James LeSage &amp; Kelley Pace (2009) dans un contexte plus général: l'argument favorisant le modèle spatial de Durbin, l'emploi d'effets indirects comme base plus valable pour évaluer l'aspect significatif des déversements spatiaux, l'emploi des probabilités d'un modèle baysien postérieur pour évaluer laquelle des matrices de poids spatiaux décrit le mieux les donnes, et la contribution de l'ouvrage la documentation sur les modèles spatio-temporels. La principale conclusion est qu'avec la publication de cet ouvrage, l'état de l'art de l'économétries spatiale applique a effectué un grand pas en avant. Alzar el nivel de la econometría espacial aplicada RÉSUMÉ Este trabajo plantea las cuestiones e implicaciones clave del nuevo libro introductorio sobre económetra espacial de James LeSage &amp; Kelley Pace (2009) dentro de una perspectiva más amplia: el argumento a favor del modelo espacial Durbin, el uso de efectos indirectos como una base más válida para poner a prueba si los desbordamientos espaciales son significativos, el uso de probabilidades posteriores bayesianas para descubrir que matriz de pesos espaciales describe mejor los datos, y la contribución del libro a la bibliógrafa sobre modelos espaciotemporales. La principal conclusión es que la econometría espacial aplicada más avanzada ha experimentado un cambio radical con la publicación de este libro.","URL":"https://doi.org/10.1080/17421770903541772","DOI":"10.1080/17421770903541772","ISSN":"1742-1772","shortTitle":"Applied Spatial Econometrics","author":[{"family":"Elhorst","given":"J. Paul"}],"issued":{"date-parts":[["2010",3,1]]},"accessed":{"date-parts":[["2019",4,7]]}},"suppress-author":true}],"schema":"https://github.com/citation-style-language/schema/raw/master/csl-citation.json"} </w:instrText>
      </w:r>
      <w:r w:rsidRPr="00CF2550">
        <w:fldChar w:fldCharType="separate"/>
      </w:r>
      <w:r w:rsidRPr="00B838A8">
        <w:rPr>
          <w:rFonts w:ascii="Times New Roman" w:hAnsi="Times New Roman"/>
          <w:lang w:val="en-US"/>
        </w:rPr>
        <w:t>(2010)</w:t>
      </w:r>
      <w:r w:rsidRPr="00CF2550">
        <w:fldChar w:fldCharType="end"/>
      </w:r>
      <w:r w:rsidRPr="00B838A8">
        <w:rPr>
          <w:lang w:val="en-US"/>
        </w:rPr>
        <w:t xml:space="preserve"> </w:t>
      </w:r>
      <w:proofErr w:type="spellStart"/>
      <w:r w:rsidRPr="00B838A8">
        <w:rPr>
          <w:lang w:val="en-US"/>
        </w:rPr>
        <w:t>indica</w:t>
      </w:r>
      <w:proofErr w:type="spellEnd"/>
      <w:r w:rsidRPr="00B838A8">
        <w:rPr>
          <w:lang w:val="en-US"/>
        </w:rPr>
        <w:t xml:space="preserve"> que </w:t>
      </w:r>
      <w:proofErr w:type="spellStart"/>
      <w:r w:rsidRPr="00B838A8">
        <w:rPr>
          <w:lang w:val="en-US"/>
        </w:rPr>
        <w:t>si</w:t>
      </w:r>
      <w:proofErr w:type="spellEnd"/>
      <w:r w:rsidRPr="00B838A8">
        <w:rPr>
          <w:lang w:val="en-US"/>
        </w:rPr>
        <w:t xml:space="preserve"> las </w:t>
      </w:r>
      <w:proofErr w:type="spellStart"/>
      <w:r w:rsidRPr="00B838A8">
        <w:rPr>
          <w:lang w:val="en-US"/>
        </w:rPr>
        <w:t>pruebas</w:t>
      </w:r>
      <w:proofErr w:type="spellEnd"/>
      <w:r w:rsidRPr="00B838A8">
        <w:rPr>
          <w:lang w:val="en-US"/>
        </w:rPr>
        <w:t xml:space="preserve"> de LM de </w:t>
      </w:r>
      <w:proofErr w:type="spellStart"/>
      <w:r w:rsidRPr="00B838A8">
        <w:rPr>
          <w:lang w:val="en-US"/>
        </w:rPr>
        <w:t>Anselin</w:t>
      </w:r>
      <w:proofErr w:type="spellEnd"/>
      <w:r w:rsidRPr="00B838A8">
        <w:rPr>
          <w:lang w:val="en-US"/>
        </w:rPr>
        <w:t xml:space="preserve"> (1996) son </w:t>
      </w:r>
      <w:proofErr w:type="spellStart"/>
      <w:r w:rsidRPr="00B838A8">
        <w:rPr>
          <w:lang w:val="en-US"/>
        </w:rPr>
        <w:t>rechazadas</w:t>
      </w:r>
      <w:proofErr w:type="spellEnd"/>
      <w:r w:rsidR="009773EE" w:rsidRPr="00B838A8">
        <w:rPr>
          <w:lang w:val="en-US"/>
        </w:rPr>
        <w:t xml:space="preserve"> para el </w:t>
      </w:r>
      <w:proofErr w:type="spellStart"/>
      <w:r w:rsidR="009773EE" w:rsidRPr="00B838A8">
        <w:rPr>
          <w:lang w:val="en-US"/>
        </w:rPr>
        <w:t>modelo</w:t>
      </w:r>
      <w:proofErr w:type="spellEnd"/>
      <w:r w:rsidR="009773EE" w:rsidRPr="00B838A8">
        <w:rPr>
          <w:lang w:val="en-US"/>
        </w:rPr>
        <w:t xml:space="preserve"> de </w:t>
      </w:r>
      <w:proofErr w:type="spellStart"/>
      <w:r w:rsidR="009773EE" w:rsidRPr="00B838A8">
        <w:rPr>
          <w:lang w:val="en-US"/>
        </w:rPr>
        <w:t>rezagos</w:t>
      </w:r>
      <w:proofErr w:type="spellEnd"/>
      <w:r w:rsidR="009773EE" w:rsidRPr="00B838A8">
        <w:rPr>
          <w:lang w:val="en-US"/>
        </w:rPr>
        <w:t xml:space="preserve"> </w:t>
      </w:r>
      <w:proofErr w:type="spellStart"/>
      <w:r w:rsidR="009773EE" w:rsidRPr="00B838A8">
        <w:rPr>
          <w:lang w:val="en-US"/>
        </w:rPr>
        <w:t>espaciales</w:t>
      </w:r>
      <w:proofErr w:type="spellEnd"/>
      <w:r w:rsidR="009773EE" w:rsidRPr="00B838A8">
        <w:rPr>
          <w:lang w:val="en-US"/>
        </w:rPr>
        <w:t xml:space="preserve">, para el </w:t>
      </w:r>
      <w:proofErr w:type="spellStart"/>
      <w:r w:rsidR="009773EE" w:rsidRPr="00B838A8">
        <w:rPr>
          <w:lang w:val="en-US"/>
        </w:rPr>
        <w:t>modelo</w:t>
      </w:r>
      <w:proofErr w:type="spellEnd"/>
      <w:r w:rsidR="009773EE" w:rsidRPr="00B838A8">
        <w:rPr>
          <w:lang w:val="en-US"/>
        </w:rPr>
        <w:t xml:space="preserve"> de </w:t>
      </w:r>
      <w:proofErr w:type="spellStart"/>
      <w:r w:rsidR="009773EE" w:rsidRPr="00B838A8">
        <w:rPr>
          <w:lang w:val="en-US"/>
        </w:rPr>
        <w:t>error</w:t>
      </w:r>
      <w:r w:rsidR="00CF2550" w:rsidRPr="00B838A8">
        <w:rPr>
          <w:lang w:val="en-US"/>
        </w:rPr>
        <w:t>e</w:t>
      </w:r>
      <w:r w:rsidR="009773EE" w:rsidRPr="00B838A8">
        <w:rPr>
          <w:lang w:val="en-US"/>
        </w:rPr>
        <w:t>s</w:t>
      </w:r>
      <w:proofErr w:type="spellEnd"/>
      <w:r w:rsidR="009773EE" w:rsidRPr="00B838A8">
        <w:rPr>
          <w:lang w:val="en-US"/>
        </w:rPr>
        <w:t xml:space="preserve"> </w:t>
      </w:r>
      <w:proofErr w:type="spellStart"/>
      <w:r w:rsidR="009773EE" w:rsidRPr="00B838A8">
        <w:rPr>
          <w:lang w:val="en-US"/>
        </w:rPr>
        <w:t>espaciales</w:t>
      </w:r>
      <w:proofErr w:type="spellEnd"/>
      <w:r w:rsidR="009773EE" w:rsidRPr="00B838A8">
        <w:rPr>
          <w:lang w:val="en-US"/>
        </w:rPr>
        <w:t xml:space="preserve"> o para ambos, </w:t>
      </w:r>
      <w:proofErr w:type="spellStart"/>
      <w:r w:rsidR="009773EE" w:rsidRPr="00B838A8">
        <w:rPr>
          <w:lang w:val="en-US"/>
        </w:rPr>
        <w:t>entonces</w:t>
      </w:r>
      <w:proofErr w:type="spellEnd"/>
      <w:r w:rsidR="009773EE" w:rsidRPr="00B838A8">
        <w:rPr>
          <w:lang w:val="en-US"/>
        </w:rPr>
        <w:t xml:space="preserve"> se</w:t>
      </w:r>
      <w:r w:rsidRPr="00B838A8">
        <w:rPr>
          <w:lang w:val="en-US"/>
        </w:rPr>
        <w:t xml:space="preserve"> </w:t>
      </w:r>
      <w:proofErr w:type="spellStart"/>
      <w:r w:rsidRPr="00B838A8">
        <w:rPr>
          <w:lang w:val="en-US"/>
        </w:rPr>
        <w:t>estima</w:t>
      </w:r>
      <w:proofErr w:type="spellEnd"/>
      <w:r w:rsidRPr="00B838A8">
        <w:rPr>
          <w:lang w:val="en-US"/>
        </w:rPr>
        <w:t xml:space="preserve"> el </w:t>
      </w:r>
      <w:proofErr w:type="spellStart"/>
      <w:r w:rsidRPr="00B838A8">
        <w:rPr>
          <w:lang w:val="en-US"/>
        </w:rPr>
        <w:t>modelo</w:t>
      </w:r>
      <w:proofErr w:type="spellEnd"/>
      <w:r w:rsidRPr="00B838A8">
        <w:rPr>
          <w:lang w:val="en-US"/>
        </w:rPr>
        <w:t xml:space="preserve"> espacial de Durbin</w:t>
      </w:r>
      <w:r w:rsidR="009773EE" w:rsidRPr="00B838A8">
        <w:rPr>
          <w:lang w:val="en-US"/>
        </w:rPr>
        <w:t xml:space="preserve"> con la </w:t>
      </w:r>
      <w:proofErr w:type="spellStart"/>
      <w:r w:rsidR="009773EE" w:rsidRPr="00B838A8">
        <w:rPr>
          <w:lang w:val="en-US"/>
        </w:rPr>
        <w:t>información</w:t>
      </w:r>
      <w:proofErr w:type="spellEnd"/>
      <w:r w:rsidR="009773EE" w:rsidRPr="00B838A8">
        <w:rPr>
          <w:lang w:val="en-US"/>
        </w:rPr>
        <w:t xml:space="preserve"> del </w:t>
      </w:r>
      <w:proofErr w:type="spellStart"/>
      <w:r w:rsidR="009773EE" w:rsidRPr="00B838A8">
        <w:rPr>
          <w:lang w:val="en-US"/>
        </w:rPr>
        <w:t>corte</w:t>
      </w:r>
      <w:proofErr w:type="spellEnd"/>
      <w:r w:rsidR="009773EE" w:rsidRPr="00B838A8">
        <w:rPr>
          <w:lang w:val="en-US"/>
        </w:rPr>
        <w:t xml:space="preserve"> transversal </w:t>
      </w:r>
      <m:oMath>
        <m:r>
          <m:rPr>
            <m:sty m:val="bi"/>
          </m:rPr>
          <w:rPr>
            <w:rFonts w:ascii="Cambria Math" w:hAnsi="Cambria Math"/>
          </w:rPr>
          <m:t>t</m:t>
        </m:r>
      </m:oMath>
      <w:r w:rsidRPr="00B838A8">
        <w:rPr>
          <w:lang w:val="en-US"/>
        </w:rPr>
        <w:t>:</w:t>
      </w:r>
    </w:p>
    <w:p w14:paraId="536858EC" w14:textId="7A2FBC9E" w:rsidR="002215E6" w:rsidRPr="009773EE" w:rsidRDefault="000F00BA" w:rsidP="00CB4A95">
      <w:pPr>
        <w:rPr>
          <w:lang w:val="en-US"/>
        </w:rPr>
      </w:pPr>
      <m:oMathPara>
        <m:oMath>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t</m:t>
              </m:r>
            </m:sub>
          </m:sSub>
          <m:sSub>
            <m:sSubPr>
              <m:ctrlPr>
                <w:rPr>
                  <w:rFonts w:ascii="Cambria Math" w:hAnsi="Cambria Math"/>
                  <w:b/>
                  <w:i/>
                  <w:lang w:val="en-US"/>
                </w:rPr>
              </m:ctrlPr>
            </m:sSubPr>
            <m:e>
              <m:r>
                <m:rPr>
                  <m:sty m:val="bi"/>
                </m:rPr>
                <w:rPr>
                  <w:rFonts w:ascii="Cambria Math" w:hAnsi="Cambria Math"/>
                  <w:lang w:val="en-US"/>
                </w:rPr>
                <m:t>1</m:t>
              </m:r>
            </m:e>
            <m:sub>
              <m:r>
                <m:rPr>
                  <m:sty m:val="bi"/>
                </m:rPr>
                <w:rPr>
                  <w:rFonts w:ascii="Cambria Math" w:hAnsi="Cambria Math"/>
                  <w:lang w:val="en-US"/>
                </w:rPr>
                <m:t>N</m:t>
              </m:r>
            </m:sub>
          </m:sSub>
          <m:r>
            <w:rPr>
              <w:rFonts w:ascii="Cambria Math" w:hAnsi="Cambria Math"/>
              <w:lang w:val="en-US"/>
            </w:rPr>
            <m:t>+ρW</m:t>
          </m:r>
          <m:sSub>
            <m:sSubPr>
              <m:ctrlPr>
                <w:rPr>
                  <w:rFonts w:ascii="Cambria Math" w:hAnsi="Cambria Math"/>
                  <w:b/>
                  <w:i/>
                  <w:lang w:val="en-US"/>
                </w:rPr>
              </m:ctrlPr>
            </m:sSubPr>
            <m:e>
              <m:r>
                <m:rPr>
                  <m:sty m:val="bi"/>
                </m:rPr>
                <w:rPr>
                  <w:rFonts w:ascii="Cambria Math" w:hAnsi="Cambria Math"/>
                  <w:lang w:val="en-US"/>
                </w:rPr>
                <m:t>P</m:t>
              </m:r>
            </m:e>
            <m:sub>
              <m:r>
                <m:rPr>
                  <m:sty m:val="bi"/>
                </m:rPr>
                <w:rPr>
                  <w:rFonts w:ascii="Cambria Math" w:hAnsi="Cambria Math"/>
                  <w:lang w:val="en-US"/>
                </w:rPr>
                <m:t>t</m:t>
              </m:r>
            </m:sub>
          </m:sSub>
          <m:r>
            <w:rPr>
              <w:rFonts w:ascii="Cambria Math" w:hAnsi="Cambria Math"/>
              <w:lang w:val="en-US"/>
            </w:rPr>
            <m:t>+X</m:t>
          </m:r>
          <m:sSub>
            <m:sSubPr>
              <m:ctrlPr>
                <w:rPr>
                  <w:rFonts w:ascii="Cambria Math" w:hAnsi="Cambria Math"/>
                  <w:b/>
                  <w:i/>
                  <w:lang w:val="en-US"/>
                </w:rPr>
              </m:ctrlPr>
            </m:sSubPr>
            <m:e>
              <m:r>
                <m:rPr>
                  <m:sty m:val="bi"/>
                </m:rPr>
                <w:rPr>
                  <w:rFonts w:ascii="Cambria Math" w:hAnsi="Cambria Math"/>
                  <w:lang w:val="en-US"/>
                </w:rPr>
                <m:t>β</m:t>
              </m:r>
            </m:e>
            <m:sub>
              <m:r>
                <m:rPr>
                  <m:sty m:val="bi"/>
                </m:rPr>
                <w:rPr>
                  <w:rFonts w:ascii="Cambria Math" w:hAnsi="Cambria Math"/>
                  <w:lang w:val="en-US"/>
                </w:rPr>
                <m:t>t</m:t>
              </m:r>
            </m:sub>
          </m:sSub>
          <m:r>
            <m:rPr>
              <m:sty m:val="bi"/>
            </m:rPr>
            <w:rPr>
              <w:rFonts w:ascii="Cambria Math" w:hAnsi="Cambria Math"/>
              <w:lang w:val="en-US"/>
            </w:rPr>
            <m:t>+</m:t>
          </m:r>
          <m:r>
            <w:rPr>
              <w:rFonts w:ascii="Cambria Math" w:hAnsi="Cambria Math"/>
              <w:lang w:val="en-US"/>
            </w:rPr>
            <m:t>W</m:t>
          </m:r>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t</m:t>
              </m:r>
            </m:sub>
          </m:s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t</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ε</m:t>
              </m:r>
            </m:e>
            <m:sub>
              <m:r>
                <m:rPr>
                  <m:sty m:val="bi"/>
                </m:rPr>
                <w:rPr>
                  <w:rFonts w:ascii="Cambria Math" w:hAnsi="Cambria Math"/>
                  <w:lang w:val="en-US"/>
                </w:rPr>
                <m:t>t</m:t>
              </m:r>
            </m:sub>
          </m:sSub>
        </m:oMath>
      </m:oMathPara>
    </w:p>
    <w:p w14:paraId="0FA17F6E" w14:textId="57CD93AD" w:rsidR="005104A3" w:rsidRPr="00B838A8" w:rsidRDefault="006227D3" w:rsidP="00DB36E8">
      <w:pPr>
        <w:rPr>
          <w:lang w:val="en-US"/>
        </w:rPr>
      </w:pPr>
      <w:r w:rsidRPr="00B838A8">
        <w:rPr>
          <w:lang w:val="en-US"/>
        </w:rPr>
        <w:t xml:space="preserve">Este </w:t>
      </w:r>
      <w:proofErr w:type="spellStart"/>
      <w:r w:rsidRPr="00B838A8">
        <w:rPr>
          <w:lang w:val="en-US"/>
        </w:rPr>
        <w:t>modelo</w:t>
      </w:r>
      <w:proofErr w:type="spellEnd"/>
      <w:r w:rsidRPr="00B838A8">
        <w:rPr>
          <w:lang w:val="en-US"/>
        </w:rPr>
        <w:t xml:space="preserve"> se </w:t>
      </w:r>
      <w:proofErr w:type="spellStart"/>
      <w:r w:rsidRPr="00B838A8">
        <w:rPr>
          <w:lang w:val="en-US"/>
        </w:rPr>
        <w:t>estimará</w:t>
      </w:r>
      <w:proofErr w:type="spellEnd"/>
      <w:r w:rsidRPr="00B838A8">
        <w:rPr>
          <w:lang w:val="en-US"/>
        </w:rPr>
        <w:t xml:space="preserve"> </w:t>
      </w:r>
      <w:proofErr w:type="spellStart"/>
      <w:r w:rsidRPr="00B838A8">
        <w:rPr>
          <w:lang w:val="en-US"/>
        </w:rPr>
        <w:t>por</w:t>
      </w:r>
      <w:proofErr w:type="spellEnd"/>
      <w:r w:rsidRPr="00B838A8">
        <w:rPr>
          <w:lang w:val="en-US"/>
        </w:rPr>
        <w:t xml:space="preserve"> </w:t>
      </w:r>
      <w:proofErr w:type="spellStart"/>
      <w:r w:rsidRPr="00B838A8">
        <w:rPr>
          <w:lang w:val="en-US"/>
        </w:rPr>
        <w:t>máxima</w:t>
      </w:r>
      <w:proofErr w:type="spellEnd"/>
      <w:r w:rsidRPr="00B838A8">
        <w:rPr>
          <w:lang w:val="en-US"/>
        </w:rPr>
        <w:t xml:space="preserve"> </w:t>
      </w:r>
      <w:proofErr w:type="spellStart"/>
      <w:r w:rsidRPr="00B838A8">
        <w:rPr>
          <w:lang w:val="en-US"/>
        </w:rPr>
        <w:t>verosimilitud</w:t>
      </w:r>
      <w:proofErr w:type="spellEnd"/>
      <w:r w:rsidRPr="00B838A8">
        <w:rPr>
          <w:lang w:val="en-US"/>
        </w:rPr>
        <w:t xml:space="preserve">, </w:t>
      </w:r>
      <w:proofErr w:type="spellStart"/>
      <w:r w:rsidRPr="00B838A8">
        <w:rPr>
          <w:lang w:val="en-US"/>
        </w:rPr>
        <w:t>aplicando</w:t>
      </w:r>
      <w:proofErr w:type="spellEnd"/>
      <w:r w:rsidRPr="00B838A8">
        <w:rPr>
          <w:lang w:val="en-US"/>
        </w:rPr>
        <w:t xml:space="preserve"> un test de </w:t>
      </w:r>
      <w:proofErr w:type="spellStart"/>
      <w:r w:rsidRPr="00B838A8">
        <w:rPr>
          <w:lang w:val="en-US"/>
        </w:rPr>
        <w:t>razón</w:t>
      </w:r>
      <w:proofErr w:type="spellEnd"/>
      <w:r w:rsidRPr="00B838A8">
        <w:rPr>
          <w:lang w:val="en-US"/>
        </w:rPr>
        <w:t xml:space="preserve"> de </w:t>
      </w:r>
      <w:proofErr w:type="spellStart"/>
      <w:r w:rsidRPr="00B838A8">
        <w:rPr>
          <w:lang w:val="en-US"/>
        </w:rPr>
        <w:t>verosimilitud</w:t>
      </w:r>
      <w:proofErr w:type="spellEnd"/>
      <w:r w:rsidRPr="00B838A8">
        <w:rPr>
          <w:lang w:val="en-US"/>
        </w:rPr>
        <w:t xml:space="preserve"> (LR) para las </w:t>
      </w:r>
      <w:proofErr w:type="spellStart"/>
      <w:r w:rsidRPr="00B838A8">
        <w:rPr>
          <w:lang w:val="en-US"/>
        </w:rPr>
        <w:t>hipótesis</w:t>
      </w:r>
      <w:proofErr w:type="spellEnd"/>
      <w:r w:rsidRPr="00B838A8">
        <w:rPr>
          <w:lang w:val="en-US"/>
        </w:rPr>
        <w:t xml:space="preserve">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1</m:t>
            </m:r>
          </m:sup>
        </m:sSubSup>
        <m:r>
          <w:rPr>
            <w:rFonts w:ascii="Cambria Math" w:hAnsi="Cambria Math"/>
            <w:lang w:val="en-US"/>
          </w:rPr>
          <m:t>:</m:t>
        </m:r>
        <m:r>
          <w:rPr>
            <w:rFonts w:ascii="Cambria Math" w:hAnsi="Cambria Math"/>
          </w:rPr>
          <m:t>θ</m:t>
        </m:r>
        <m:r>
          <w:rPr>
            <w:rFonts w:ascii="Cambria Math" w:hAnsi="Cambria Math"/>
            <w:lang w:val="en-US"/>
          </w:rPr>
          <m:t>=0</m:t>
        </m:r>
      </m:oMath>
      <w:r w:rsidRPr="00B838A8">
        <w:rPr>
          <w:lang w:val="en-US"/>
        </w:rPr>
        <w:t xml:space="preserve"> y </w:t>
      </w:r>
      <m:oMath>
        <m:sSubSup>
          <m:sSubSupPr>
            <m:ctrlPr>
              <w:rPr>
                <w:rFonts w:ascii="Cambria Math" w:hAnsi="Cambria Math"/>
                <w:i/>
              </w:rPr>
            </m:ctrlPr>
          </m:sSubSupPr>
          <m:e>
            <m:r>
              <w:rPr>
                <w:rFonts w:ascii="Cambria Math" w:hAnsi="Cambria Math"/>
              </w:rPr>
              <m:t>H</m:t>
            </m:r>
          </m:e>
          <m:sub>
            <m:r>
              <w:rPr>
                <w:rFonts w:ascii="Cambria Math" w:hAnsi="Cambria Math"/>
                <w:lang w:val="en-US"/>
              </w:rPr>
              <m:t>0</m:t>
            </m:r>
          </m:sub>
          <m:sup>
            <m:r>
              <w:rPr>
                <w:rFonts w:ascii="Cambria Math" w:hAnsi="Cambria Math"/>
                <w:lang w:val="en-US"/>
              </w:rPr>
              <m:t>2</m:t>
            </m:r>
          </m:sup>
        </m:sSubSup>
        <m:r>
          <w:rPr>
            <w:rFonts w:ascii="Cambria Math" w:hAnsi="Cambria Math"/>
            <w:lang w:val="en-US"/>
          </w:rPr>
          <m:t>:</m:t>
        </m:r>
        <m:r>
          <w:rPr>
            <w:rFonts w:ascii="Cambria Math" w:hAnsi="Cambria Math"/>
          </w:rPr>
          <m:t>θ</m:t>
        </m:r>
        <m:r>
          <w:rPr>
            <w:rFonts w:ascii="Cambria Math" w:hAnsi="Cambria Math"/>
            <w:lang w:val="en-US"/>
          </w:rPr>
          <m:t>+</m:t>
        </m:r>
        <m:r>
          <w:rPr>
            <w:rFonts w:ascii="Cambria Math" w:hAnsi="Cambria Math"/>
          </w:rPr>
          <m:t>ρβ</m:t>
        </m:r>
        <m:r>
          <w:rPr>
            <w:rFonts w:ascii="Cambria Math" w:hAnsi="Cambria Math"/>
            <w:lang w:val="en-US"/>
          </w:rPr>
          <m:t>=0</m:t>
        </m:r>
      </m:oMath>
      <w:r w:rsidRPr="00B838A8">
        <w:rPr>
          <w:lang w:val="en-US"/>
        </w:rPr>
        <w:t>. Si no se rechaza la primera hipótesis, el modelo puede ser simplificado un modelo de rezago espacial. Si se falla en rechazar la segunda, el modelo puede ser simplificado un modelo de errores espaciales. En caso ambas hipótesis sean rechazadas, el m</w:t>
      </w:r>
      <w:proofErr w:type="spellStart"/>
      <w:r w:rsidRPr="00B838A8">
        <w:rPr>
          <w:lang w:val="en-US"/>
        </w:rPr>
        <w:t>odelo</w:t>
      </w:r>
      <w:proofErr w:type="spellEnd"/>
      <w:r w:rsidRPr="00B838A8">
        <w:rPr>
          <w:lang w:val="en-US"/>
        </w:rPr>
        <w:t xml:space="preserve"> espacial de Durbin </w:t>
      </w:r>
      <w:proofErr w:type="spellStart"/>
      <w:r w:rsidRPr="00B838A8">
        <w:rPr>
          <w:lang w:val="en-US"/>
        </w:rPr>
        <w:t>es</w:t>
      </w:r>
      <w:proofErr w:type="spellEnd"/>
      <w:r w:rsidRPr="00B838A8">
        <w:rPr>
          <w:lang w:val="en-US"/>
        </w:rPr>
        <w:t xml:space="preserve"> el que </w:t>
      </w:r>
      <w:proofErr w:type="spellStart"/>
      <w:r w:rsidRPr="00B838A8">
        <w:rPr>
          <w:lang w:val="en-US"/>
        </w:rPr>
        <w:t>mejor</w:t>
      </w:r>
      <w:proofErr w:type="spellEnd"/>
      <w:r w:rsidRPr="00B838A8">
        <w:rPr>
          <w:lang w:val="en-US"/>
        </w:rPr>
        <w:t xml:space="preserve"> describe </w:t>
      </w:r>
      <w:proofErr w:type="spellStart"/>
      <w:r w:rsidRPr="00B838A8">
        <w:rPr>
          <w:lang w:val="en-US"/>
        </w:rPr>
        <w:t>los</w:t>
      </w:r>
      <w:proofErr w:type="spellEnd"/>
      <w:r w:rsidRPr="00B838A8">
        <w:rPr>
          <w:lang w:val="en-US"/>
        </w:rPr>
        <w:t xml:space="preserve"> </w:t>
      </w:r>
      <w:proofErr w:type="spellStart"/>
      <w:r w:rsidRPr="00B838A8">
        <w:rPr>
          <w:lang w:val="en-US"/>
        </w:rPr>
        <w:t>datos</w:t>
      </w:r>
      <w:proofErr w:type="spellEnd"/>
      <w:r w:rsidRPr="00B838A8">
        <w:rPr>
          <w:lang w:val="en-US"/>
        </w:rPr>
        <w:t>.</w:t>
      </w:r>
    </w:p>
    <w:p w14:paraId="6DEB65A6" w14:textId="77777777" w:rsidR="00DB36E8" w:rsidRDefault="00DB36E8">
      <w:pPr>
        <w:spacing w:after="200" w:line="276" w:lineRule="auto"/>
        <w:jc w:val="left"/>
        <w:rPr>
          <w:b/>
          <w:lang w:val="en-US"/>
        </w:rPr>
      </w:pPr>
      <w:r>
        <w:rPr>
          <w:b/>
          <w:lang w:val="en-US"/>
        </w:rPr>
        <w:br w:type="page"/>
      </w:r>
    </w:p>
    <w:p w14:paraId="5863AF65" w14:textId="27CFE75B" w:rsidR="005104A3" w:rsidRPr="00AF6545" w:rsidRDefault="005104A3" w:rsidP="005104A3">
      <w:pPr>
        <w:rPr>
          <w:b/>
          <w:lang w:val="en-US"/>
        </w:rPr>
      </w:pPr>
      <w:proofErr w:type="spellStart"/>
      <w:r w:rsidRPr="00AF6545">
        <w:rPr>
          <w:b/>
          <w:lang w:val="en-US"/>
        </w:rPr>
        <w:lastRenderedPageBreak/>
        <w:t>Bibliografía</w:t>
      </w:r>
      <w:proofErr w:type="spellEnd"/>
    </w:p>
    <w:p w14:paraId="4506B9A4" w14:textId="77777777" w:rsidR="00AF6545" w:rsidRPr="00AF6545" w:rsidRDefault="005104A3" w:rsidP="00AF6545">
      <w:pPr>
        <w:pStyle w:val="Bibliografa"/>
        <w:rPr>
          <w:rFonts w:ascii="Times New Roman" w:hAnsi="Times New Roman"/>
          <w:lang w:val="en-US"/>
        </w:rPr>
      </w:pPr>
      <w:r>
        <w:fldChar w:fldCharType="begin"/>
      </w:r>
      <w:r w:rsidR="00AF6545" w:rsidRPr="00AF6545">
        <w:rPr>
          <w:lang w:val="en-US"/>
        </w:rPr>
        <w:instrText xml:space="preserve"> ADDIN ZOTERO_BIBL {"uncited":[],"omitted":[],"custom":[]} CSL_BIBLIOGRAPHY </w:instrText>
      </w:r>
      <w:r>
        <w:fldChar w:fldCharType="separate"/>
      </w:r>
      <w:r w:rsidR="00AF6545" w:rsidRPr="00AF6545">
        <w:rPr>
          <w:rFonts w:ascii="Times New Roman" w:hAnsi="Times New Roman"/>
          <w:lang w:val="en-US"/>
        </w:rPr>
        <w:t xml:space="preserve">Alderighi, M., &amp; Baudino, M. (2015). The pricing behavior of Italian gas stations: Some evidence from the Cuneo retail fuel market. </w:t>
      </w:r>
      <w:r w:rsidR="00AF6545" w:rsidRPr="00AF6545">
        <w:rPr>
          <w:rFonts w:ascii="Times New Roman" w:hAnsi="Times New Roman"/>
          <w:i/>
          <w:iCs/>
          <w:lang w:val="en-US"/>
        </w:rPr>
        <w:t>Energy Economics</w:t>
      </w:r>
      <w:r w:rsidR="00AF6545" w:rsidRPr="00AF6545">
        <w:rPr>
          <w:rFonts w:ascii="Times New Roman" w:hAnsi="Times New Roman"/>
          <w:lang w:val="en-US"/>
        </w:rPr>
        <w:t xml:space="preserve">, </w:t>
      </w:r>
      <w:r w:rsidR="00AF6545" w:rsidRPr="00AF6545">
        <w:rPr>
          <w:rFonts w:ascii="Times New Roman" w:hAnsi="Times New Roman"/>
          <w:i/>
          <w:iCs/>
          <w:lang w:val="en-US"/>
        </w:rPr>
        <w:t>50</w:t>
      </w:r>
      <w:r w:rsidR="00AF6545" w:rsidRPr="00AF6545">
        <w:rPr>
          <w:rFonts w:ascii="Times New Roman" w:hAnsi="Times New Roman"/>
          <w:lang w:val="en-US"/>
        </w:rPr>
        <w:t>, 33-46. https://doi.org/10.1016/j.eneco.2015.04.017</w:t>
      </w:r>
    </w:p>
    <w:p w14:paraId="2E0CAC29" w14:textId="77777777" w:rsidR="00AF6545" w:rsidRPr="00B838A8" w:rsidRDefault="00AF6545" w:rsidP="00AF6545">
      <w:pPr>
        <w:pStyle w:val="Bibliografa"/>
        <w:rPr>
          <w:rFonts w:ascii="Times New Roman" w:hAnsi="Times New Roman"/>
          <w:lang w:val="en-US"/>
        </w:rPr>
      </w:pPr>
      <w:r w:rsidRPr="00AF6545">
        <w:rPr>
          <w:rFonts w:ascii="Times New Roman" w:hAnsi="Times New Roman"/>
          <w:lang w:val="en-US"/>
        </w:rPr>
        <w:t xml:space="preserve">Anselin, L. (2013). </w:t>
      </w:r>
      <w:r w:rsidRPr="00AF6545">
        <w:rPr>
          <w:rFonts w:ascii="Times New Roman" w:hAnsi="Times New Roman"/>
          <w:i/>
          <w:iCs/>
          <w:lang w:val="en-US"/>
        </w:rPr>
        <w:t>Spatial econometrics: methods and models</w:t>
      </w:r>
      <w:r w:rsidRPr="00AF6545">
        <w:rPr>
          <w:rFonts w:ascii="Times New Roman" w:hAnsi="Times New Roman"/>
          <w:lang w:val="en-US"/>
        </w:rPr>
        <w:t xml:space="preserve"> (Vol. 4). </w:t>
      </w:r>
      <w:r w:rsidRPr="00B838A8">
        <w:rPr>
          <w:rFonts w:ascii="Times New Roman" w:hAnsi="Times New Roman"/>
          <w:lang w:val="en-US"/>
        </w:rPr>
        <w:t>Springer Science &amp; Business Media.</w:t>
      </w:r>
    </w:p>
    <w:p w14:paraId="373563BB" w14:textId="77777777" w:rsidR="00AF6545" w:rsidRPr="00B838A8" w:rsidRDefault="00AF6545" w:rsidP="00AF6545">
      <w:pPr>
        <w:pStyle w:val="Bibliografa"/>
        <w:rPr>
          <w:rFonts w:ascii="Times New Roman" w:hAnsi="Times New Roman"/>
          <w:lang w:val="en-US"/>
        </w:rPr>
      </w:pPr>
      <w:r w:rsidRPr="00AF6545">
        <w:rPr>
          <w:rFonts w:ascii="Times New Roman" w:hAnsi="Times New Roman"/>
          <w:lang w:val="en-US"/>
        </w:rPr>
        <w:t xml:space="preserve">Anselin, L., Bera, A. K., Florax, R., &amp; Yoon, M. J. (1996). Simple diagnostic tests for spatial dependence. </w:t>
      </w:r>
      <w:r w:rsidRPr="00B838A8">
        <w:rPr>
          <w:rFonts w:ascii="Times New Roman" w:hAnsi="Times New Roman"/>
          <w:i/>
          <w:iCs/>
          <w:lang w:val="en-US"/>
        </w:rPr>
        <w:t>Regional Science and Urban Economics</w:t>
      </w:r>
      <w:r w:rsidRPr="00B838A8">
        <w:rPr>
          <w:rFonts w:ascii="Times New Roman" w:hAnsi="Times New Roman"/>
          <w:lang w:val="en-US"/>
        </w:rPr>
        <w:t xml:space="preserve">, </w:t>
      </w:r>
      <w:r w:rsidRPr="00B838A8">
        <w:rPr>
          <w:rFonts w:ascii="Times New Roman" w:hAnsi="Times New Roman"/>
          <w:i/>
          <w:iCs/>
          <w:lang w:val="en-US"/>
        </w:rPr>
        <w:t>26</w:t>
      </w:r>
      <w:r w:rsidRPr="00B838A8">
        <w:rPr>
          <w:rFonts w:ascii="Times New Roman" w:hAnsi="Times New Roman"/>
          <w:lang w:val="en-US"/>
        </w:rPr>
        <w:t>(1), 77-104. https://doi.org/10.1016/0166-0462(95)02111-6</w:t>
      </w:r>
    </w:p>
    <w:p w14:paraId="163FD7AD" w14:textId="77777777" w:rsidR="00AF6545" w:rsidRPr="00AF6545" w:rsidRDefault="00AF6545" w:rsidP="00AF6545">
      <w:pPr>
        <w:pStyle w:val="Bibliografa"/>
        <w:rPr>
          <w:rFonts w:ascii="Times New Roman" w:hAnsi="Times New Roman"/>
          <w:lang w:val="en-US"/>
        </w:rPr>
      </w:pPr>
      <w:r w:rsidRPr="00B838A8">
        <w:rPr>
          <w:rFonts w:ascii="Times New Roman" w:hAnsi="Times New Roman"/>
          <w:lang w:val="en-US"/>
        </w:rPr>
        <w:t xml:space="preserve">Aurazo Iglesias, J. G., &amp; Rojas Milla, P. C. (2018). </w:t>
      </w:r>
      <w:r w:rsidRPr="000F00BA">
        <w:rPr>
          <w:rFonts w:ascii="Times New Roman" w:hAnsi="Times New Roman"/>
          <w:i/>
          <w:iCs/>
          <w:lang w:val="es-ES"/>
        </w:rPr>
        <w:t>Modelo de competencia espacial: una aplicación a</w:t>
      </w:r>
      <w:r w:rsidRPr="00AF6545">
        <w:rPr>
          <w:rFonts w:ascii="Times New Roman" w:hAnsi="Times New Roman"/>
          <w:i/>
          <w:iCs/>
        </w:rPr>
        <w:t xml:space="preserve">l mercado </w:t>
      </w:r>
      <w:proofErr w:type="spellStart"/>
      <w:r w:rsidRPr="00AF6545">
        <w:rPr>
          <w:rFonts w:ascii="Times New Roman" w:hAnsi="Times New Roman"/>
          <w:i/>
          <w:iCs/>
        </w:rPr>
        <w:t>retail</w:t>
      </w:r>
      <w:proofErr w:type="spellEnd"/>
      <w:r w:rsidRPr="00AF6545">
        <w:rPr>
          <w:rFonts w:ascii="Times New Roman" w:hAnsi="Times New Roman"/>
          <w:i/>
          <w:iCs/>
        </w:rPr>
        <w:t xml:space="preserve"> del GNV en el Perú</w:t>
      </w:r>
      <w:r w:rsidRPr="00AF6545">
        <w:rPr>
          <w:rFonts w:ascii="Times New Roman" w:hAnsi="Times New Roman"/>
        </w:rPr>
        <w:t xml:space="preserve">. </w:t>
      </w:r>
      <w:r w:rsidRPr="00AF6545">
        <w:rPr>
          <w:rFonts w:ascii="Times New Roman" w:hAnsi="Times New Roman"/>
          <w:lang w:val="en-US"/>
        </w:rPr>
        <w:t>Perú.</w:t>
      </w:r>
    </w:p>
    <w:p w14:paraId="2A41BA0D"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Byrne, P. F. (2010). </w:t>
      </w:r>
      <w:r w:rsidRPr="00AF6545">
        <w:rPr>
          <w:rFonts w:ascii="Times New Roman" w:hAnsi="Times New Roman"/>
          <w:i/>
          <w:iCs/>
          <w:lang w:val="en-US"/>
        </w:rPr>
        <w:t>Geographic Competition in the Retail Gasoline Market: Who are a gas station’s competitors?</w:t>
      </w:r>
      <w:r w:rsidRPr="00AF6545">
        <w:rPr>
          <w:rFonts w:ascii="Times New Roman" w:hAnsi="Times New Roman"/>
          <w:lang w:val="en-US"/>
        </w:rPr>
        <w:t xml:space="preserve"> (2), 23.</w:t>
      </w:r>
    </w:p>
    <w:p w14:paraId="368B5306"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Chung, Y., &amp; Park, H. (2014). Analysis of Spatial Interaction Effect of Retail Gasoline Price in Seoul. </w:t>
      </w:r>
      <w:r w:rsidRPr="00AF6545">
        <w:rPr>
          <w:rFonts w:ascii="Times New Roman" w:hAnsi="Times New Roman"/>
          <w:i/>
          <w:iCs/>
          <w:lang w:val="en-US"/>
        </w:rPr>
        <w:t>Korea and the World Economy</w:t>
      </w:r>
      <w:r w:rsidRPr="00AF6545">
        <w:rPr>
          <w:rFonts w:ascii="Times New Roman" w:hAnsi="Times New Roman"/>
          <w:lang w:val="en-US"/>
        </w:rPr>
        <w:t xml:space="preserve">, </w:t>
      </w:r>
      <w:r w:rsidRPr="00AF6545">
        <w:rPr>
          <w:rFonts w:ascii="Times New Roman" w:hAnsi="Times New Roman"/>
          <w:i/>
          <w:iCs/>
          <w:lang w:val="en-US"/>
        </w:rPr>
        <w:t>15</w:t>
      </w:r>
      <w:r w:rsidRPr="00AF6545">
        <w:rPr>
          <w:rFonts w:ascii="Times New Roman" w:hAnsi="Times New Roman"/>
          <w:lang w:val="en-US"/>
        </w:rPr>
        <w:t>(2), 209–241.</w:t>
      </w:r>
    </w:p>
    <w:p w14:paraId="19FCDFE7"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Clemenz, G., &amp; Gugler, K. (2006). Locational choice and price competition: some empirical results for the austrian retail gasoline market. </w:t>
      </w:r>
      <w:r w:rsidRPr="00AF6545">
        <w:rPr>
          <w:rFonts w:ascii="Times New Roman" w:hAnsi="Times New Roman"/>
          <w:i/>
          <w:iCs/>
          <w:lang w:val="en-US"/>
        </w:rPr>
        <w:t>Empirical Economics</w:t>
      </w:r>
      <w:r w:rsidRPr="00AF6545">
        <w:rPr>
          <w:rFonts w:ascii="Times New Roman" w:hAnsi="Times New Roman"/>
          <w:lang w:val="en-US"/>
        </w:rPr>
        <w:t xml:space="preserve">, </w:t>
      </w:r>
      <w:r w:rsidRPr="00AF6545">
        <w:rPr>
          <w:rFonts w:ascii="Times New Roman" w:hAnsi="Times New Roman"/>
          <w:i/>
          <w:iCs/>
          <w:lang w:val="en-US"/>
        </w:rPr>
        <w:t>31</w:t>
      </w:r>
      <w:r w:rsidRPr="00AF6545">
        <w:rPr>
          <w:rFonts w:ascii="Times New Roman" w:hAnsi="Times New Roman"/>
          <w:lang w:val="en-US"/>
        </w:rPr>
        <w:t>(2), 291-312. https://doi.org/10.1007/s00181-005-0016-7</w:t>
      </w:r>
    </w:p>
    <w:p w14:paraId="152668C7"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Dale, P. (2004). </w:t>
      </w:r>
      <w:r w:rsidRPr="00AF6545">
        <w:rPr>
          <w:rFonts w:ascii="Times New Roman" w:hAnsi="Times New Roman"/>
          <w:i/>
          <w:iCs/>
          <w:lang w:val="en-US"/>
        </w:rPr>
        <w:t>Introduction to Mathematical Techniques used in GIS</w:t>
      </w:r>
      <w:r w:rsidRPr="00AF6545">
        <w:rPr>
          <w:rFonts w:ascii="Times New Roman" w:hAnsi="Times New Roman"/>
          <w:lang w:val="en-US"/>
        </w:rPr>
        <w:t>. CRC Press.</w:t>
      </w:r>
    </w:p>
    <w:p w14:paraId="7D8E552F"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Eckert, A., &amp; West, D. S. (2005). Price uniformity and competition in a retail gasoline market. </w:t>
      </w:r>
      <w:r w:rsidRPr="00AF6545">
        <w:rPr>
          <w:rFonts w:ascii="Times New Roman" w:hAnsi="Times New Roman"/>
          <w:i/>
          <w:iCs/>
          <w:lang w:val="en-US"/>
        </w:rPr>
        <w:t>Journal of Economic Behavior &amp; Organization</w:t>
      </w:r>
      <w:r w:rsidRPr="00AF6545">
        <w:rPr>
          <w:rFonts w:ascii="Times New Roman" w:hAnsi="Times New Roman"/>
          <w:lang w:val="en-US"/>
        </w:rPr>
        <w:t xml:space="preserve">, </w:t>
      </w:r>
      <w:r w:rsidRPr="00AF6545">
        <w:rPr>
          <w:rFonts w:ascii="Times New Roman" w:hAnsi="Times New Roman"/>
          <w:i/>
          <w:iCs/>
          <w:lang w:val="en-US"/>
        </w:rPr>
        <w:t>56</w:t>
      </w:r>
      <w:r w:rsidRPr="00AF6545">
        <w:rPr>
          <w:rFonts w:ascii="Times New Roman" w:hAnsi="Times New Roman"/>
          <w:lang w:val="en-US"/>
        </w:rPr>
        <w:t>(2), 219-237. https://doi.org/10.1016/j.jebo.2003.09.006</w:t>
      </w:r>
    </w:p>
    <w:p w14:paraId="5866E36F"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Elhorst, J. P. (2010). Applied Spatial Econometrics: Raising the Bar. </w:t>
      </w:r>
      <w:r w:rsidRPr="00AF6545">
        <w:rPr>
          <w:rFonts w:ascii="Times New Roman" w:hAnsi="Times New Roman"/>
          <w:i/>
          <w:iCs/>
          <w:lang w:val="en-US"/>
        </w:rPr>
        <w:t>Spatial Economic Analysis</w:t>
      </w:r>
      <w:r w:rsidRPr="00AF6545">
        <w:rPr>
          <w:rFonts w:ascii="Times New Roman" w:hAnsi="Times New Roman"/>
          <w:lang w:val="en-US"/>
        </w:rPr>
        <w:t xml:space="preserve">, </w:t>
      </w:r>
      <w:r w:rsidRPr="00AF6545">
        <w:rPr>
          <w:rFonts w:ascii="Times New Roman" w:hAnsi="Times New Roman"/>
          <w:i/>
          <w:iCs/>
          <w:lang w:val="en-US"/>
        </w:rPr>
        <w:t>5</w:t>
      </w:r>
      <w:r w:rsidRPr="00AF6545">
        <w:rPr>
          <w:rFonts w:ascii="Times New Roman" w:hAnsi="Times New Roman"/>
          <w:lang w:val="en-US"/>
        </w:rPr>
        <w:t>(1), 9-28. https://doi.org/10.1080/17421770903541772</w:t>
      </w:r>
    </w:p>
    <w:p w14:paraId="7E3000CC"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Fingleton, B., &amp; Le Gallo, J. (2008). Estimating spatial models with endogenous variables, a spatial lag and spatially dependent disturbances: finite sample properties. </w:t>
      </w:r>
      <w:r w:rsidRPr="00AF6545">
        <w:rPr>
          <w:rFonts w:ascii="Times New Roman" w:hAnsi="Times New Roman"/>
          <w:i/>
          <w:iCs/>
          <w:lang w:val="en-US"/>
        </w:rPr>
        <w:t>Papers in Regional Science</w:t>
      </w:r>
      <w:r w:rsidRPr="00AF6545">
        <w:rPr>
          <w:rFonts w:ascii="Times New Roman" w:hAnsi="Times New Roman"/>
          <w:lang w:val="en-US"/>
        </w:rPr>
        <w:t xml:space="preserve">, </w:t>
      </w:r>
      <w:r w:rsidRPr="00AF6545">
        <w:rPr>
          <w:rFonts w:ascii="Times New Roman" w:hAnsi="Times New Roman"/>
          <w:i/>
          <w:iCs/>
          <w:lang w:val="en-US"/>
        </w:rPr>
        <w:t>87</w:t>
      </w:r>
      <w:r w:rsidRPr="00AF6545">
        <w:rPr>
          <w:rFonts w:ascii="Times New Roman" w:hAnsi="Times New Roman"/>
          <w:lang w:val="en-US"/>
        </w:rPr>
        <w:t>(3), 319–339.</w:t>
      </w:r>
    </w:p>
    <w:p w14:paraId="129B8C65"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Hastings, J. S. (2004). Vertical Relationships and Competition in Retail Gasoline Markets: Empirical Evidence from Contract Changes in Southern California. </w:t>
      </w:r>
      <w:r w:rsidRPr="00AF6545">
        <w:rPr>
          <w:rFonts w:ascii="Times New Roman" w:hAnsi="Times New Roman"/>
          <w:i/>
          <w:iCs/>
          <w:lang w:val="en-US"/>
        </w:rPr>
        <w:t>The American Economic Review</w:t>
      </w:r>
      <w:r w:rsidRPr="00AF6545">
        <w:rPr>
          <w:rFonts w:ascii="Times New Roman" w:hAnsi="Times New Roman"/>
          <w:lang w:val="en-US"/>
        </w:rPr>
        <w:t xml:space="preserve">, </w:t>
      </w:r>
      <w:r w:rsidRPr="00AF6545">
        <w:rPr>
          <w:rFonts w:ascii="Times New Roman" w:hAnsi="Times New Roman"/>
          <w:i/>
          <w:iCs/>
          <w:lang w:val="en-US"/>
        </w:rPr>
        <w:t>94</w:t>
      </w:r>
      <w:r w:rsidRPr="00AF6545">
        <w:rPr>
          <w:rFonts w:ascii="Times New Roman" w:hAnsi="Times New Roman"/>
          <w:lang w:val="en-US"/>
        </w:rPr>
        <w:t>(1), 317-328. Recuperado de https://www.jstor.org/stable/3592781</w:t>
      </w:r>
    </w:p>
    <w:p w14:paraId="7465C2F3"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Houde, J.-F. (2012). Spatial Differentiation and Vertical Mergers in Retail Markets for Gasoline. </w:t>
      </w:r>
      <w:r w:rsidRPr="00AF6545">
        <w:rPr>
          <w:rFonts w:ascii="Times New Roman" w:hAnsi="Times New Roman"/>
          <w:i/>
          <w:iCs/>
          <w:lang w:val="en-US"/>
        </w:rPr>
        <w:t>American Economic Review</w:t>
      </w:r>
      <w:r w:rsidRPr="00AF6545">
        <w:rPr>
          <w:rFonts w:ascii="Times New Roman" w:hAnsi="Times New Roman"/>
          <w:lang w:val="en-US"/>
        </w:rPr>
        <w:t xml:space="preserve">, </w:t>
      </w:r>
      <w:r w:rsidRPr="00AF6545">
        <w:rPr>
          <w:rFonts w:ascii="Times New Roman" w:hAnsi="Times New Roman"/>
          <w:i/>
          <w:iCs/>
          <w:lang w:val="en-US"/>
        </w:rPr>
        <w:t>102</w:t>
      </w:r>
      <w:r w:rsidRPr="00AF6545">
        <w:rPr>
          <w:rFonts w:ascii="Times New Roman" w:hAnsi="Times New Roman"/>
          <w:lang w:val="en-US"/>
        </w:rPr>
        <w:t>(5), 2147-2182. https://doi.org/10.1257/aer.102.5.2147</w:t>
      </w:r>
    </w:p>
    <w:p w14:paraId="7EF4D052"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LeSage, J., &amp; Pace, R. K. (2009). </w:t>
      </w:r>
      <w:r w:rsidRPr="00AF6545">
        <w:rPr>
          <w:rFonts w:ascii="Times New Roman" w:hAnsi="Times New Roman"/>
          <w:i/>
          <w:iCs/>
          <w:lang w:val="en-US"/>
        </w:rPr>
        <w:t>Introduction to spatial econometrics</w:t>
      </w:r>
      <w:r w:rsidRPr="00AF6545">
        <w:rPr>
          <w:rFonts w:ascii="Times New Roman" w:hAnsi="Times New Roman"/>
          <w:lang w:val="en-US"/>
        </w:rPr>
        <w:t>. Chapman and Hall/CRC.</w:t>
      </w:r>
    </w:p>
    <w:p w14:paraId="10E8D74C"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Manski, C. F. (1993). Identification of endogenous social effects: The reflection problem. </w:t>
      </w:r>
      <w:r w:rsidRPr="00AF6545">
        <w:rPr>
          <w:rFonts w:ascii="Times New Roman" w:hAnsi="Times New Roman"/>
          <w:i/>
          <w:iCs/>
          <w:lang w:val="en-US"/>
        </w:rPr>
        <w:t>The review of economic studies</w:t>
      </w:r>
      <w:r w:rsidRPr="00AF6545">
        <w:rPr>
          <w:rFonts w:ascii="Times New Roman" w:hAnsi="Times New Roman"/>
          <w:lang w:val="en-US"/>
        </w:rPr>
        <w:t xml:space="preserve">, </w:t>
      </w:r>
      <w:r w:rsidRPr="00AF6545">
        <w:rPr>
          <w:rFonts w:ascii="Times New Roman" w:hAnsi="Times New Roman"/>
          <w:i/>
          <w:iCs/>
          <w:lang w:val="en-US"/>
        </w:rPr>
        <w:t>60</w:t>
      </w:r>
      <w:r w:rsidRPr="00AF6545">
        <w:rPr>
          <w:rFonts w:ascii="Times New Roman" w:hAnsi="Times New Roman"/>
          <w:lang w:val="en-US"/>
        </w:rPr>
        <w:t>(3), 531–542.</w:t>
      </w:r>
    </w:p>
    <w:p w14:paraId="4F983BAD"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Manuszak, M. D. (2010). Predicting the impact of upstream mergers on downstream markets with an application to the retail gasoline industry. </w:t>
      </w:r>
      <w:r w:rsidRPr="00AF6545">
        <w:rPr>
          <w:rFonts w:ascii="Times New Roman" w:hAnsi="Times New Roman"/>
          <w:i/>
          <w:iCs/>
          <w:lang w:val="en-US"/>
        </w:rPr>
        <w:t>International Journal of Industrial Organization</w:t>
      </w:r>
      <w:r w:rsidRPr="00AF6545">
        <w:rPr>
          <w:rFonts w:ascii="Times New Roman" w:hAnsi="Times New Roman"/>
          <w:lang w:val="en-US"/>
        </w:rPr>
        <w:t xml:space="preserve">, </w:t>
      </w:r>
      <w:r w:rsidRPr="00AF6545">
        <w:rPr>
          <w:rFonts w:ascii="Times New Roman" w:hAnsi="Times New Roman"/>
          <w:i/>
          <w:iCs/>
          <w:lang w:val="en-US"/>
        </w:rPr>
        <w:t>28</w:t>
      </w:r>
      <w:r w:rsidRPr="00AF6545">
        <w:rPr>
          <w:rFonts w:ascii="Times New Roman" w:hAnsi="Times New Roman"/>
          <w:lang w:val="en-US"/>
        </w:rPr>
        <w:t>(1), 99-111. https://doi.org/10.1016/j.ijindorg.2009.07.002</w:t>
      </w:r>
    </w:p>
    <w:p w14:paraId="1E36371D" w14:textId="77777777" w:rsidR="00AF6545" w:rsidRPr="00B838A8" w:rsidRDefault="00AF6545" w:rsidP="00AF6545">
      <w:pPr>
        <w:pStyle w:val="Bibliografa"/>
        <w:rPr>
          <w:rFonts w:ascii="Times New Roman" w:hAnsi="Times New Roman"/>
          <w:lang w:val="en-US"/>
        </w:rPr>
      </w:pPr>
      <w:r w:rsidRPr="00AF6545">
        <w:rPr>
          <w:rFonts w:ascii="Times New Roman" w:hAnsi="Times New Roman"/>
          <w:lang w:val="en-US"/>
        </w:rPr>
        <w:t xml:space="preserve">Pennerstorfer, D. (2009). Spatial price competition in retail gasoline markets: evidence from Austria. </w:t>
      </w:r>
      <w:r w:rsidRPr="00B838A8">
        <w:rPr>
          <w:rFonts w:ascii="Times New Roman" w:hAnsi="Times New Roman"/>
          <w:i/>
          <w:iCs/>
          <w:lang w:val="en-US"/>
        </w:rPr>
        <w:t>The Annals of Regional Science</w:t>
      </w:r>
      <w:r w:rsidRPr="00B838A8">
        <w:rPr>
          <w:rFonts w:ascii="Times New Roman" w:hAnsi="Times New Roman"/>
          <w:lang w:val="en-US"/>
        </w:rPr>
        <w:t xml:space="preserve">, </w:t>
      </w:r>
      <w:r w:rsidRPr="00B838A8">
        <w:rPr>
          <w:rFonts w:ascii="Times New Roman" w:hAnsi="Times New Roman"/>
          <w:i/>
          <w:iCs/>
          <w:lang w:val="en-US"/>
        </w:rPr>
        <w:t>43</w:t>
      </w:r>
      <w:r w:rsidRPr="00B838A8">
        <w:rPr>
          <w:rFonts w:ascii="Times New Roman" w:hAnsi="Times New Roman"/>
          <w:lang w:val="en-US"/>
        </w:rPr>
        <w:t>(1), 133-158. https://doi.org/10.1007/s00168-007-0206-7</w:t>
      </w:r>
    </w:p>
    <w:p w14:paraId="20ED1028"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lastRenderedPageBreak/>
        <w:t xml:space="preserve">Pennerstorfer, D., &amp; Weiss, C. (2013). Spatial clustering and market power: Evidence from the retail gasoline market. </w:t>
      </w:r>
      <w:r w:rsidRPr="00AF6545">
        <w:rPr>
          <w:rFonts w:ascii="Times New Roman" w:hAnsi="Times New Roman"/>
          <w:i/>
          <w:iCs/>
          <w:lang w:val="en-US"/>
        </w:rPr>
        <w:t>Regional Science and Urban Economics</w:t>
      </w:r>
      <w:r w:rsidRPr="00AF6545">
        <w:rPr>
          <w:rFonts w:ascii="Times New Roman" w:hAnsi="Times New Roman"/>
          <w:lang w:val="en-US"/>
        </w:rPr>
        <w:t xml:space="preserve">, </w:t>
      </w:r>
      <w:r w:rsidRPr="00AF6545">
        <w:rPr>
          <w:rFonts w:ascii="Times New Roman" w:hAnsi="Times New Roman"/>
          <w:i/>
          <w:iCs/>
          <w:lang w:val="en-US"/>
        </w:rPr>
        <w:t>43</w:t>
      </w:r>
      <w:r w:rsidRPr="00AF6545">
        <w:rPr>
          <w:rFonts w:ascii="Times New Roman" w:hAnsi="Times New Roman"/>
          <w:lang w:val="en-US"/>
        </w:rPr>
        <w:t>(4), 661-675. https://doi.org/10.1016/j.regsciurbeco.2013.04.002</w:t>
      </w:r>
    </w:p>
    <w:p w14:paraId="41917FFC" w14:textId="77777777" w:rsidR="00AF6545" w:rsidRPr="00AF6545" w:rsidRDefault="00AF6545" w:rsidP="00AF6545">
      <w:pPr>
        <w:pStyle w:val="Bibliografa"/>
        <w:rPr>
          <w:rFonts w:ascii="Times New Roman" w:hAnsi="Times New Roman"/>
          <w:lang w:val="en-US"/>
        </w:rPr>
      </w:pPr>
      <w:r w:rsidRPr="00AF6545">
        <w:rPr>
          <w:rFonts w:ascii="Times New Roman" w:hAnsi="Times New Roman"/>
        </w:rPr>
        <w:t xml:space="preserve">Pintado, A. B., &amp; Contín-Pilart, I. (2010). Influencia de los factores de localización en la fijación de los precios de los carburantes de automoción en España. </w:t>
      </w:r>
      <w:r w:rsidRPr="00AF6545">
        <w:rPr>
          <w:rFonts w:ascii="Times New Roman" w:hAnsi="Times New Roman"/>
          <w:i/>
          <w:iCs/>
          <w:lang w:val="en-US"/>
        </w:rPr>
        <w:t>Cuadernos económicos de ICE</w:t>
      </w:r>
      <w:r w:rsidRPr="00AF6545">
        <w:rPr>
          <w:rFonts w:ascii="Times New Roman" w:hAnsi="Times New Roman"/>
          <w:lang w:val="en-US"/>
        </w:rPr>
        <w:t>, (79).</w:t>
      </w:r>
    </w:p>
    <w:p w14:paraId="05E7BBE5" w14:textId="77777777" w:rsidR="00AF6545" w:rsidRPr="00AF6545" w:rsidRDefault="00AF6545" w:rsidP="00AF6545">
      <w:pPr>
        <w:pStyle w:val="Bibliografa"/>
        <w:rPr>
          <w:rFonts w:ascii="Times New Roman" w:hAnsi="Times New Roman"/>
          <w:lang w:val="en-US"/>
        </w:rPr>
      </w:pPr>
      <w:r w:rsidRPr="00AF6545">
        <w:rPr>
          <w:rFonts w:ascii="Times New Roman" w:hAnsi="Times New Roman"/>
          <w:lang w:val="en-US"/>
        </w:rPr>
        <w:t xml:space="preserve">Simpson, J., &amp; Taylor, C. (2008). Do Gasoline Mergers Affect Consumer Prices? The Marathon Ashland Petroleum and Ultramar Diamond Shamrock Transaction. </w:t>
      </w:r>
      <w:r w:rsidRPr="00AF6545">
        <w:rPr>
          <w:rFonts w:ascii="Times New Roman" w:hAnsi="Times New Roman"/>
          <w:i/>
          <w:iCs/>
          <w:lang w:val="en-US"/>
        </w:rPr>
        <w:t>The Journal of Law and Economics</w:t>
      </w:r>
      <w:r w:rsidRPr="00AF6545">
        <w:rPr>
          <w:rFonts w:ascii="Times New Roman" w:hAnsi="Times New Roman"/>
          <w:lang w:val="en-US"/>
        </w:rPr>
        <w:t xml:space="preserve">, </w:t>
      </w:r>
      <w:r w:rsidRPr="00AF6545">
        <w:rPr>
          <w:rFonts w:ascii="Times New Roman" w:hAnsi="Times New Roman"/>
          <w:i/>
          <w:iCs/>
          <w:lang w:val="en-US"/>
        </w:rPr>
        <w:t>51</w:t>
      </w:r>
      <w:r w:rsidRPr="00AF6545">
        <w:rPr>
          <w:rFonts w:ascii="Times New Roman" w:hAnsi="Times New Roman"/>
          <w:lang w:val="en-US"/>
        </w:rPr>
        <w:t>(1), 135-152. https://doi.org/10.1086/520004</w:t>
      </w:r>
    </w:p>
    <w:p w14:paraId="261FEF66" w14:textId="77777777" w:rsidR="00AF6545" w:rsidRPr="00AF6545" w:rsidRDefault="00AF6545" w:rsidP="00AF6545">
      <w:pPr>
        <w:pStyle w:val="Bibliografa"/>
        <w:rPr>
          <w:rFonts w:ascii="Times New Roman" w:hAnsi="Times New Roman"/>
        </w:rPr>
      </w:pPr>
      <w:r w:rsidRPr="00AF6545">
        <w:rPr>
          <w:rFonts w:ascii="Times New Roman" w:hAnsi="Times New Roman"/>
          <w:lang w:val="en-US"/>
        </w:rPr>
        <w:t xml:space="preserve">Slade, M. E. (1992). Vancouver’s Gasoline-Price Wars: An Empirical Exercise in Uncovering Supergame Strategies. </w:t>
      </w:r>
      <w:r w:rsidRPr="00AF6545">
        <w:rPr>
          <w:rFonts w:ascii="Times New Roman" w:hAnsi="Times New Roman"/>
          <w:i/>
          <w:iCs/>
        </w:rPr>
        <w:t>The Review of Economic Studies</w:t>
      </w:r>
      <w:r w:rsidRPr="00AF6545">
        <w:rPr>
          <w:rFonts w:ascii="Times New Roman" w:hAnsi="Times New Roman"/>
        </w:rPr>
        <w:t xml:space="preserve">, </w:t>
      </w:r>
      <w:r w:rsidRPr="00AF6545">
        <w:rPr>
          <w:rFonts w:ascii="Times New Roman" w:hAnsi="Times New Roman"/>
          <w:i/>
          <w:iCs/>
        </w:rPr>
        <w:t>59</w:t>
      </w:r>
      <w:r w:rsidRPr="00AF6545">
        <w:rPr>
          <w:rFonts w:ascii="Times New Roman" w:hAnsi="Times New Roman"/>
        </w:rPr>
        <w:t>(2), 257. https://doi.org/10.2307/2297954</w:t>
      </w:r>
    </w:p>
    <w:p w14:paraId="326151A1" w14:textId="0506E0CF" w:rsidR="005104A3" w:rsidRDefault="005104A3" w:rsidP="005104A3">
      <w:r>
        <w:fldChar w:fldCharType="end"/>
      </w:r>
    </w:p>
    <w:sectPr w:rsidR="005104A3" w:rsidSect="00170A3D">
      <w:headerReference w:type="default" r:id="rId11"/>
      <w:pgSz w:w="11906" w:h="16838"/>
      <w:pgMar w:top="1701" w:right="1418" w:bottom="1701" w:left="1985"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iego Uriarte" w:date="2019-04-06T20:33:00Z" w:initials="DUC">
    <w:p w14:paraId="0FDC3CD3" w14:textId="62192590" w:rsidR="000F00BA" w:rsidRDefault="000F00BA" w:rsidP="00F57A1B">
      <w:pPr>
        <w:pStyle w:val="Textocomentario"/>
      </w:pPr>
      <w:r>
        <w:rPr>
          <w:rStyle w:val="Refdecomentario"/>
        </w:rPr>
        <w:annotationRef/>
      </w:r>
      <w:r>
        <w:t>Posibles ideas:</w:t>
      </w:r>
    </w:p>
    <w:p w14:paraId="11E58CD1" w14:textId="77777777" w:rsidR="000F00BA" w:rsidRDefault="000F00BA" w:rsidP="00F57A1B">
      <w:pPr>
        <w:pStyle w:val="Textocomentario"/>
      </w:pPr>
      <w:r>
        <w:t>-</w:t>
      </w:r>
      <w:r>
        <w:tab/>
        <w:t xml:space="preserve">Hablar precios establecidos en libre mercado y breve resumen de la historia del </w:t>
      </w:r>
      <w:proofErr w:type="spellStart"/>
      <w:r>
        <w:t>minoreo</w:t>
      </w:r>
      <w:proofErr w:type="spellEnd"/>
      <w:r>
        <w:t xml:space="preserve"> de combustible en el país</w:t>
      </w:r>
    </w:p>
    <w:p w14:paraId="2E57E539" w14:textId="77777777" w:rsidR="000F00BA" w:rsidRDefault="000F00BA" w:rsidP="00F57A1B">
      <w:pPr>
        <w:pStyle w:val="Textocomentario"/>
      </w:pPr>
      <w:r>
        <w:t>-</w:t>
      </w:r>
      <w:r>
        <w:tab/>
        <w:t>Quejas de usuarios porque las bajas en los precios de los combustibles no se trasladan igual de rápido</w:t>
      </w:r>
    </w:p>
    <w:p w14:paraId="79C2DDA6" w14:textId="7D01977E" w:rsidR="000F00BA" w:rsidRDefault="000F00BA" w:rsidP="00F57A1B">
      <w:pPr>
        <w:pStyle w:val="Textocomentario"/>
      </w:pPr>
      <w:r>
        <w:t>-</w:t>
      </w:r>
      <w:r>
        <w:tab/>
        <w:t xml:space="preserve">Las quejas están dirigidas a los productores, pero este es el caso? Asumimos que </w:t>
      </w:r>
      <w:proofErr w:type="gramStart"/>
      <w:r>
        <w:t>las grifos</w:t>
      </w:r>
      <w:proofErr w:type="gramEnd"/>
      <w:r>
        <w:t xml:space="preserve"> compiten perfectamente, productos </w:t>
      </w:r>
      <w:proofErr w:type="spellStart"/>
      <w:r>
        <w:t>homogenos</w:t>
      </w:r>
      <w:proofErr w:type="spellEnd"/>
      <w:r>
        <w:t xml:space="preserve">, pero no </w:t>
      </w:r>
      <w:proofErr w:type="spellStart"/>
      <w:r>
        <w:t>necesarimanete</w:t>
      </w:r>
      <w:proofErr w:type="spellEnd"/>
    </w:p>
  </w:comment>
  <w:comment w:id="1" w:author="Diego Uriarte" w:date="2019-04-06T20:22:00Z" w:initials="DUC">
    <w:p w14:paraId="011A51CC" w14:textId="77777777" w:rsidR="000F00BA" w:rsidRPr="0004424C" w:rsidRDefault="000F00BA" w:rsidP="00F57A1B">
      <w:pPr>
        <w:pStyle w:val="Textocomentario"/>
        <w:rPr>
          <w:lang w:val="en-US"/>
        </w:rPr>
      </w:pPr>
      <w:r>
        <w:rPr>
          <w:rStyle w:val="Refdecomentario"/>
        </w:rPr>
        <w:annotationRef/>
      </w:r>
      <w:r w:rsidRPr="0004424C">
        <w:rPr>
          <w:lang w:val="en-US"/>
        </w:rPr>
        <w:t xml:space="preserve">Tal </w:t>
      </w:r>
      <w:proofErr w:type="spellStart"/>
      <w:r w:rsidRPr="0004424C">
        <w:rPr>
          <w:lang w:val="en-US"/>
        </w:rPr>
        <w:t>como</w:t>
      </w:r>
      <w:proofErr w:type="spellEnd"/>
      <w:r w:rsidRPr="0004424C">
        <w:rPr>
          <w:lang w:val="en-US"/>
        </w:rPr>
        <w:t xml:space="preserve"> </w:t>
      </w:r>
      <w:proofErr w:type="spellStart"/>
      <w:r w:rsidRPr="0004424C">
        <w:rPr>
          <w:lang w:val="en-US"/>
        </w:rPr>
        <w:t>señala</w:t>
      </w:r>
      <w:proofErr w:type="spellEnd"/>
      <w:r w:rsidRPr="0004424C">
        <w:rPr>
          <w:lang w:val="en-US"/>
        </w:rPr>
        <w:t xml:space="preserve"> Hastings (2004)</w:t>
      </w:r>
    </w:p>
  </w:comment>
  <w:comment w:id="2" w:author="Diego Uriarte" w:date="2019-04-06T20:20:00Z" w:initials="DUC">
    <w:p w14:paraId="69C0C05F" w14:textId="77777777" w:rsidR="000F00BA" w:rsidRPr="007B4F71" w:rsidRDefault="000F00BA" w:rsidP="00F57A1B">
      <w:pPr>
        <w:pStyle w:val="Textocomentario"/>
        <w:rPr>
          <w:lang w:val="en-US"/>
        </w:rPr>
      </w:pPr>
      <w:r>
        <w:rPr>
          <w:rStyle w:val="Refdecomentario"/>
        </w:rPr>
        <w:annotationRef/>
      </w:r>
      <w:r w:rsidRPr="007B4F71">
        <w:rPr>
          <w:lang w:val="en-US"/>
        </w:rPr>
        <w:t>The assumption of a competitive market however ignores the spatial differentiation that results when consumers incur travel costs. By giving individual firms pricing power, spatial differentiation creates the potential for competing firms to engage in strategic interaction in their pricing decision. This study uses spatial econometrics to examine the extent to which this product" (Byrne 2010:23)"differentiating results in strategic interaction in the pricing decision of retail gas stations."</w:t>
      </w:r>
    </w:p>
  </w:comment>
  <w:comment w:id="3" w:author="Diego Uriarte" w:date="2019-04-07T14:04:00Z" w:initials="DUC">
    <w:p w14:paraId="49E8B1D4" w14:textId="194CE933" w:rsidR="000F00BA" w:rsidRDefault="000F00BA" w:rsidP="00F57A1B">
      <w:pPr>
        <w:pStyle w:val="Textocomentario"/>
      </w:pPr>
      <w:r>
        <w:rPr>
          <w:rStyle w:val="Refdecomentario"/>
        </w:rPr>
        <w:annotationRef/>
      </w:r>
      <w:r>
        <w:rPr>
          <w:rStyle w:val="Refdecomentario"/>
        </w:rPr>
        <w:t xml:space="preserve">Añadir comentario sobre estado de estudios con </w:t>
      </w:r>
      <w:proofErr w:type="spellStart"/>
      <w:r>
        <w:rPr>
          <w:rStyle w:val="Refdecomentario"/>
        </w:rPr>
        <w:t>econmetría</w:t>
      </w:r>
      <w:proofErr w:type="spellEnd"/>
      <w:r>
        <w:rPr>
          <w:rStyle w:val="Refdecomentario"/>
        </w:rPr>
        <w:t xml:space="preserve"> espacial en el país</w:t>
      </w:r>
    </w:p>
  </w:comment>
  <w:comment w:id="5" w:author="Diego Uriarte" w:date="2019-04-07T15:22:00Z" w:initials="DUC">
    <w:p w14:paraId="01FA18F2" w14:textId="77777777" w:rsidR="000F00BA" w:rsidRDefault="000F00BA" w:rsidP="00F57A1B">
      <w:pPr>
        <w:pStyle w:val="Textocomentario"/>
      </w:pPr>
      <w:r>
        <w:rPr>
          <w:rStyle w:val="Refdecomentario"/>
        </w:rPr>
        <w:annotationRef/>
      </w:r>
      <w:proofErr w:type="spellStart"/>
      <w:r>
        <w:t>Outline</w:t>
      </w:r>
      <w:proofErr w:type="spellEnd"/>
      <w:r>
        <w:t>:</w:t>
      </w:r>
    </w:p>
    <w:p w14:paraId="729BB921" w14:textId="77777777" w:rsidR="000F00BA" w:rsidRDefault="000F00BA" w:rsidP="00F57A1B">
      <w:pPr>
        <w:pStyle w:val="Textocomentario"/>
      </w:pPr>
      <w:r>
        <w:t>-</w:t>
      </w:r>
      <w:r>
        <w:tab/>
        <w:t>Estudios hechos en mercados de combustibles</w:t>
      </w:r>
    </w:p>
    <w:p w14:paraId="5B1A1030" w14:textId="77777777" w:rsidR="000F00BA" w:rsidRDefault="000F00BA" w:rsidP="00F57A1B">
      <w:pPr>
        <w:pStyle w:val="Textocomentario"/>
      </w:pPr>
      <w:r>
        <w:t>-</w:t>
      </w:r>
      <w:r>
        <w:tab/>
        <w:t>Competencia entre grifos</w:t>
      </w:r>
    </w:p>
    <w:p w14:paraId="11EBF342" w14:textId="77777777" w:rsidR="000F00BA" w:rsidRDefault="000F00BA" w:rsidP="00F57A1B">
      <w:pPr>
        <w:pStyle w:val="Textocomentario"/>
      </w:pPr>
      <w:r>
        <w:t>-</w:t>
      </w:r>
      <w:r>
        <w:tab/>
        <w:t>Modelos de competencia espacial, justificación</w:t>
      </w:r>
    </w:p>
    <w:p w14:paraId="34096371" w14:textId="23DFDB15" w:rsidR="000F00BA" w:rsidRPr="00103A41" w:rsidRDefault="000F00BA" w:rsidP="00F57A1B">
      <w:pPr>
        <w:pStyle w:val="Textocomentario"/>
        <w:rPr>
          <w:lang w:val="en-US"/>
        </w:rPr>
      </w:pPr>
      <w:r w:rsidRPr="00103A41">
        <w:rPr>
          <w:lang w:val="en-US"/>
        </w:rPr>
        <w:t>-</w:t>
      </w:r>
      <w:r w:rsidRPr="00103A41">
        <w:rPr>
          <w:lang w:val="en-US"/>
        </w:rPr>
        <w:tab/>
      </w:r>
      <w:proofErr w:type="spellStart"/>
      <w:r w:rsidRPr="00103A41">
        <w:rPr>
          <w:lang w:val="en-US"/>
        </w:rPr>
        <w:t>Construcción</w:t>
      </w:r>
      <w:proofErr w:type="spellEnd"/>
      <w:r w:rsidRPr="00103A41">
        <w:rPr>
          <w:lang w:val="en-US"/>
        </w:rPr>
        <w:t xml:space="preserve"> de </w:t>
      </w:r>
      <w:proofErr w:type="spellStart"/>
      <w:r w:rsidRPr="00103A41">
        <w:rPr>
          <w:lang w:val="en-US"/>
        </w:rPr>
        <w:t>polígonos</w:t>
      </w:r>
      <w:proofErr w:type="spellEnd"/>
      <w:r w:rsidRPr="00103A41">
        <w:rPr>
          <w:lang w:val="en-US"/>
        </w:rPr>
        <w:t xml:space="preserve"> de Thiessen</w:t>
      </w:r>
    </w:p>
  </w:comment>
  <w:comment w:id="11" w:author="Diego Uriarte" w:date="2019-04-07T22:13:00Z" w:initials="DUC">
    <w:p w14:paraId="75530A47" w14:textId="77777777" w:rsidR="000F00BA" w:rsidRDefault="000F00BA" w:rsidP="00103A41">
      <w:pPr>
        <w:pStyle w:val="Textocomentario"/>
      </w:pPr>
      <w:r>
        <w:rPr>
          <w:rStyle w:val="Refdecomentario"/>
        </w:rPr>
        <w:annotationRef/>
      </w:r>
      <w:r>
        <w:rPr>
          <w:rStyle w:val="Refdecomentario"/>
        </w:rPr>
        <w:annotationRef/>
      </w:r>
      <w:r w:rsidRPr="004E5926">
        <w:rPr>
          <w:lang w:val="en-US"/>
        </w:rPr>
        <w:t xml:space="preserve">"The Italian fuel sector The structure of the Italian fuel sector is similar to that of many Western countries: a few big vertically integrated oil companies control the entire production process, from the extraction of oil to the sale of the fuel at the pump.5 According to </w:t>
      </w:r>
      <w:proofErr w:type="spellStart"/>
      <w:r w:rsidRPr="004E5926">
        <w:rPr>
          <w:lang w:val="en-US"/>
        </w:rPr>
        <w:t>Unione</w:t>
      </w:r>
      <w:proofErr w:type="spellEnd"/>
      <w:r w:rsidRPr="004E5926">
        <w:rPr>
          <w:lang w:val="en-US"/>
        </w:rPr>
        <w:t xml:space="preserve"> </w:t>
      </w:r>
      <w:proofErr w:type="spellStart"/>
      <w:r w:rsidRPr="004E5926">
        <w:rPr>
          <w:lang w:val="en-US"/>
        </w:rPr>
        <w:t>Petrolifera</w:t>
      </w:r>
      <w:proofErr w:type="spellEnd"/>
      <w:r w:rsidRPr="004E5926">
        <w:rPr>
          <w:lang w:val="en-US"/>
        </w:rPr>
        <w:t xml:space="preserve"> (2011), the overall refining capacity, approximately 107 million </w:t>
      </w:r>
      <w:proofErr w:type="spellStart"/>
      <w:r w:rsidRPr="004E5926">
        <w:rPr>
          <w:lang w:val="en-US"/>
        </w:rPr>
        <w:t>tonnes</w:t>
      </w:r>
      <w:proofErr w:type="spellEnd"/>
      <w:r w:rsidRPr="004E5926">
        <w:rPr>
          <w:lang w:val="en-US"/>
        </w:rPr>
        <w:t xml:space="preserve"> in 2010, is guaranteed by 16 plants, with a utilization rate of about 84%. Oil extraction capacity on the national territory is generally poor. In 2010, total imports were 77.9 million </w:t>
      </w:r>
      <w:proofErr w:type="spellStart"/>
      <w:r w:rsidRPr="004E5926">
        <w:rPr>
          <w:lang w:val="en-US"/>
        </w:rPr>
        <w:t>tonnes</w:t>
      </w:r>
      <w:proofErr w:type="spellEnd"/>
      <w:r w:rsidRPr="004E5926">
        <w:rPr>
          <w:lang w:val="en-US"/>
        </w:rPr>
        <w:t xml:space="preserve">, and Libya is the largest supplier (16.4 million </w:t>
      </w:r>
      <w:proofErr w:type="spellStart"/>
      <w:r w:rsidRPr="004E5926">
        <w:rPr>
          <w:lang w:val="en-US"/>
        </w:rPr>
        <w:t>tonnes</w:t>
      </w:r>
      <w:proofErr w:type="spellEnd"/>
      <w:r w:rsidRPr="004E5926">
        <w:rPr>
          <w:lang w:val="en-US"/>
        </w:rPr>
        <w:t xml:space="preserve">). At the retail level, most of the branded stations are company-owned (i.e. </w:t>
      </w:r>
      <w:proofErr w:type="spellStart"/>
      <w:r w:rsidRPr="004E5926">
        <w:rPr>
          <w:lang w:val="en-US"/>
        </w:rPr>
        <w:t>thefirms</w:t>
      </w:r>
      <w:proofErr w:type="spellEnd"/>
      <w:r w:rsidRPr="004E5926">
        <w:rPr>
          <w:lang w:val="en-US"/>
        </w:rPr>
        <w:t xml:space="preserve"> are vertically-integrated with the parent brand), while a few are operated by an independent dealer. Branded stations compete against a few independent unbranded retailers (also known </w:t>
      </w:r>
      <w:proofErr w:type="spellStart"/>
      <w:r w:rsidRPr="004E5926">
        <w:rPr>
          <w:lang w:val="en-US"/>
        </w:rPr>
        <w:t>as'white</w:t>
      </w:r>
      <w:proofErr w:type="spellEnd"/>
      <w:r w:rsidRPr="004E5926">
        <w:rPr>
          <w:lang w:val="en-US"/>
        </w:rPr>
        <w:t xml:space="preserve"> pumps'). Such independent dealers often charge lower prices than branded stations (about 10-11 cents per liter). In Italy, white pumps cover less than 10% of the national market, while, in other European countries (the UK, Germany, and, in particular, France), they are more prevalent, covering over half of the retail market (</w:t>
      </w:r>
      <w:proofErr w:type="spellStart"/>
      <w:r w:rsidRPr="004E5926">
        <w:rPr>
          <w:lang w:val="en-US"/>
        </w:rPr>
        <w:t>Ravazzoni</w:t>
      </w:r>
      <w:proofErr w:type="spellEnd"/>
      <w:r w:rsidRPr="004E5926">
        <w:rPr>
          <w:lang w:val="en-US"/>
        </w:rPr>
        <w:t xml:space="preserve">, 2010). This aspect provides an unusual characteristic to the Italian fuel sector when compared with other EU Countries, making it less competitive in relative terms. Other unfavorable characteristics of the Italian fuel market include the relative abundance of gas stations, low average supply per point of sale, the limited presence of self-service, and the limited presence of non-oil activities (Table 1).6 Recently, for environmental reasons, as well as to promote the spread of new fuel types, national and regional laws have forced entrant stations to supply LPG (propane). This measure has slightly reduced the proliferation of retail points, but has made it more difficult for small independent operators to enter the market. The impact on the market efficiency of this intervention is, therefore, ambiguous. Retail prices are a function of two components: the industrial component, and </w:t>
      </w:r>
      <w:proofErr w:type="spellStart"/>
      <w:r w:rsidRPr="004E5926">
        <w:rPr>
          <w:lang w:val="en-US"/>
        </w:rPr>
        <w:t>thefiscal</w:t>
      </w:r>
      <w:proofErr w:type="spellEnd"/>
      <w:r w:rsidRPr="004E5926">
        <w:rPr>
          <w:lang w:val="en-US"/>
        </w:rPr>
        <w:t xml:space="preserve"> component. The industrial component is represented by the costs of crude oil extraction or purchase, refinement, storage, transportation, and retail sale. </w:t>
      </w:r>
      <w:proofErr w:type="spellStart"/>
      <w:r w:rsidRPr="004E5926">
        <w:rPr>
          <w:lang w:val="en-US"/>
        </w:rPr>
        <w:t>Thefiscal</w:t>
      </w:r>
      <w:proofErr w:type="spellEnd"/>
      <w:r w:rsidRPr="004E5926">
        <w:rPr>
          <w:lang w:val="en-US"/>
        </w:rPr>
        <w:t xml:space="preserve"> component consists of an excise and a value-added tax applied to both the industrial component and the excise. In the last 15 years, Italian retail fuel prices have been in line with the price charged in the other European countries, although the weight of the two components has been quite different. In Italy, the industrial component is€0.722 for gasoline and€0.699 for diesel, and </w:t>
      </w:r>
      <w:proofErr w:type="spellStart"/>
      <w:r w:rsidRPr="004E5926">
        <w:rPr>
          <w:lang w:val="en-US"/>
        </w:rPr>
        <w:t>thefiscal</w:t>
      </w:r>
      <w:proofErr w:type="spellEnd"/>
      <w:r w:rsidRPr="004E5926">
        <w:rPr>
          <w:lang w:val="en-US"/>
        </w:rPr>
        <w:t xml:space="preserve"> component is€0.804 for gasoline and€0.613 for diesel (May 2011). Germany, France and the UK have </w:t>
      </w:r>
      <w:proofErr w:type="spellStart"/>
      <w:r w:rsidRPr="004E5926">
        <w:rPr>
          <w:lang w:val="en-US"/>
        </w:rPr>
        <w:t>higherfiscal</w:t>
      </w:r>
      <w:proofErr w:type="spellEnd"/>
      <w:r w:rsidRPr="004E5926">
        <w:rPr>
          <w:lang w:val="en-US"/>
        </w:rPr>
        <w:t xml:space="preserve"> components and significantly lower industrial ones, as shown by Table 2. The higher industrial component (especially for gasoline) is often interpreted as a lower efficiency of the Italian fuel market than in comparator European countries. It has also been argued that large industrial costs in Italy must be attributable to the morphology of the country, which requires a high number of gas stations to be adequately covered. This explanation is, however, not fully convincing. Because of its geography, Italy may need a larger number of points of sale to cover less accessible areas (i.e. the mountain areas). However, the observed spread of the stations over the territory does not seem to follow this logic. Indeed, the plains tend to have too dense coverage, while the mountain areas are poorly covered. Alternative explanations can have a different direction of the causal implication, i.e. because competition is </w:t>
      </w:r>
      <w:proofErr w:type="spellStart"/>
      <w:r w:rsidRPr="004E5926">
        <w:rPr>
          <w:lang w:val="en-US"/>
        </w:rPr>
        <w:t>notfierce</w:t>
      </w:r>
      <w:proofErr w:type="spellEnd"/>
      <w:r w:rsidRPr="004E5926">
        <w:rPr>
          <w:lang w:val="en-US"/>
        </w:rPr>
        <w:t xml:space="preserve"> there is room for a higher number of competitors. As </w:t>
      </w:r>
      <w:proofErr w:type="spellStart"/>
      <w:r w:rsidRPr="004E5926">
        <w:rPr>
          <w:lang w:val="en-US"/>
        </w:rPr>
        <w:t>afinal</w:t>
      </w:r>
      <w:proofErr w:type="spellEnd"/>
      <w:r w:rsidRPr="004E5926">
        <w:rPr>
          <w:lang w:val="en-US"/>
        </w:rPr>
        <w:t xml:space="preserve"> remark, it is worth noting that in Italy (as in most other EU Countries) the price of diesel is lower than that of gasoline.7 According to the Ministry of Economic Development, the lower cost of diesel has, therefore, induced drivers to reduce their gasoline demand from 16,070 </w:t>
      </w:r>
      <w:proofErr w:type="spellStart"/>
      <w:r w:rsidRPr="004E5926">
        <w:rPr>
          <w:lang w:val="en-US"/>
        </w:rPr>
        <w:t>tonnes</w:t>
      </w:r>
      <w:proofErr w:type="spellEnd"/>
      <w:r w:rsidRPr="004E5926">
        <w:rPr>
          <w:lang w:val="en-US"/>
        </w:rPr>
        <w:t xml:space="preserve"> in 2002 to 9982 </w:t>
      </w:r>
      <w:proofErr w:type="spellStart"/>
      <w:r w:rsidRPr="004E5926">
        <w:rPr>
          <w:lang w:val="en-US"/>
        </w:rPr>
        <w:t>tonnes</w:t>
      </w:r>
      <w:proofErr w:type="spellEnd"/>
      <w:r w:rsidRPr="004E5926">
        <w:rPr>
          <w:lang w:val="en-US"/>
        </w:rPr>
        <w:t xml:space="preserve"> in 2010 (about−38% in 8 years), whereas in the same period the demand for diesel increased from 21,511 </w:t>
      </w:r>
      <w:proofErr w:type="spellStart"/>
      <w:r w:rsidRPr="004E5926">
        <w:rPr>
          <w:lang w:val="en-US"/>
        </w:rPr>
        <w:t>tonnes</w:t>
      </w:r>
      <w:proofErr w:type="spellEnd"/>
      <w:r w:rsidRPr="004E5926">
        <w:rPr>
          <w:lang w:val="en-US"/>
        </w:rPr>
        <w:t xml:space="preserve"> to 25,272 (about +15% in the same time interval). Despite the higher prices at the pump for gasoline, the two fuels nevertheless show a very close time trend." </w:t>
      </w:r>
      <w:r w:rsidRPr="004E5926">
        <w:t>(</w:t>
      </w:r>
      <w:proofErr w:type="spellStart"/>
      <w:r w:rsidRPr="004E5926">
        <w:t>Alderighi</w:t>
      </w:r>
      <w:proofErr w:type="spellEnd"/>
      <w:r w:rsidRPr="004E5926">
        <w:t>-Baudino 2015:35)</w:t>
      </w:r>
    </w:p>
    <w:p w14:paraId="649D0B92" w14:textId="77D1DCA4" w:rsidR="000F00BA" w:rsidRDefault="000F00BA">
      <w:pPr>
        <w:pStyle w:val="Textocomentario"/>
      </w:pPr>
    </w:p>
  </w:comment>
  <w:comment w:id="12" w:author="Diego Uriarte" w:date="2019-04-07T22:10:00Z" w:initials="DUC">
    <w:p w14:paraId="7138ECCC" w14:textId="53695F56" w:rsidR="000F00BA" w:rsidRDefault="000F00BA">
      <w:pPr>
        <w:pStyle w:val="Textocomentario"/>
      </w:pPr>
      <w:r>
        <w:rPr>
          <w:rStyle w:val="Refdecomentario"/>
        </w:rPr>
        <w:annotationRef/>
      </w:r>
      <w:r>
        <w:t xml:space="preserve">Consultar a </w:t>
      </w:r>
      <w:proofErr w:type="spellStart"/>
      <w:r>
        <w:t>karin</w:t>
      </w:r>
      <w:proofErr w:type="spellEnd"/>
      <w:r>
        <w:t xml:space="preserve"> sobre esto</w:t>
      </w:r>
    </w:p>
  </w:comment>
  <w:comment w:id="14" w:author="Diego Uriarte" w:date="2019-04-09T17:35:00Z" w:initials="DUC">
    <w:p w14:paraId="4152D1E1" w14:textId="465318B6" w:rsidR="000F00BA" w:rsidRDefault="000F00BA">
      <w:pPr>
        <w:pStyle w:val="Textocomentario"/>
      </w:pPr>
      <w:r>
        <w:rPr>
          <w:rStyle w:val="Refdecomentario"/>
        </w:rPr>
        <w:annotationRef/>
      </w:r>
      <w:r>
        <w:rPr>
          <w:noProof/>
          <w:lang w:val="en-US"/>
        </w:rPr>
        <w:drawing>
          <wp:inline distT="0" distB="0" distL="0" distR="0" wp14:anchorId="7CE7D063" wp14:editId="643250BC">
            <wp:extent cx="4695238" cy="277142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4695238" cy="2771429"/>
                    </a:xfrm>
                    <a:prstGeom prst="rect">
                      <a:avLst/>
                    </a:prstGeom>
                  </pic:spPr>
                </pic:pic>
              </a:graphicData>
            </a:graphic>
          </wp:inline>
        </w:drawing>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9C2DDA6" w15:done="0"/>
  <w15:commentEx w15:paraId="011A51CC" w15:done="0"/>
  <w15:commentEx w15:paraId="69C0C05F" w15:done="0"/>
  <w15:commentEx w15:paraId="49E8B1D4" w15:done="0"/>
  <w15:commentEx w15:paraId="34096371" w15:done="0"/>
  <w15:commentEx w15:paraId="649D0B92" w15:done="0"/>
  <w15:commentEx w15:paraId="7138ECCC" w15:done="0"/>
  <w15:commentEx w15:paraId="4152D1E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765138" w14:textId="77777777" w:rsidR="00E85234" w:rsidRDefault="00E85234" w:rsidP="00F57A1B">
      <w:r>
        <w:separator/>
      </w:r>
    </w:p>
  </w:endnote>
  <w:endnote w:type="continuationSeparator" w:id="0">
    <w:p w14:paraId="6DE0252F" w14:textId="77777777" w:rsidR="00E85234" w:rsidRDefault="00E85234" w:rsidP="00F57A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282955" w14:textId="77777777" w:rsidR="00E85234" w:rsidRDefault="00E85234" w:rsidP="00F57A1B">
      <w:r>
        <w:separator/>
      </w:r>
    </w:p>
  </w:footnote>
  <w:footnote w:type="continuationSeparator" w:id="0">
    <w:p w14:paraId="7D204C87" w14:textId="77777777" w:rsidR="00E85234" w:rsidRDefault="00E85234" w:rsidP="00F57A1B">
      <w:r>
        <w:continuationSeparator/>
      </w:r>
    </w:p>
  </w:footnote>
  <w:footnote w:id="1">
    <w:p w14:paraId="17E0C81E" w14:textId="2F2E665B" w:rsidR="000F00BA" w:rsidRDefault="000F00BA" w:rsidP="00F57A1B">
      <w:pPr>
        <w:pStyle w:val="Textonotapie"/>
        <w:spacing w:after="0"/>
      </w:pPr>
      <w:r>
        <w:rPr>
          <w:rStyle w:val="Refdenotaalpie"/>
        </w:rPr>
        <w:footnoteRef/>
      </w:r>
      <w:r>
        <w:t xml:space="preserve"> La marca del combustible está asociada al aditivo que coloca el mayorista antes de su despacho. Por tanto, al comprar un combustible en una estación con el nombre de una marca determinada, el consumidor no sabe a priori si la estación es propia o abanderada, pero sí puede saber que la calidad del combustible que recibe, en cuanto aditivo, es la misma.</w:t>
      </w:r>
    </w:p>
  </w:footnote>
  <w:footnote w:id="2">
    <w:p w14:paraId="7BA666D7" w14:textId="7370AAB3" w:rsidR="000F00BA" w:rsidRDefault="000F00BA">
      <w:pPr>
        <w:pStyle w:val="Textonotapie"/>
      </w:pPr>
      <w:r>
        <w:rPr>
          <w:rStyle w:val="Refdenotaalpie"/>
        </w:rPr>
        <w:footnoteRef/>
      </w:r>
      <w:r>
        <w:t xml:space="preserve"> </w:t>
      </w:r>
      <w:r w:rsidRPr="005526A5">
        <w:rPr>
          <w:highlight w:val="yellow"/>
        </w:rPr>
        <w:t>Comentar sobre porcentajes</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475334"/>
      <w:docPartObj>
        <w:docPartGallery w:val="Page Numbers (Top of Page)"/>
        <w:docPartUnique/>
      </w:docPartObj>
    </w:sdtPr>
    <w:sdtContent>
      <w:p w14:paraId="40B29DC3" w14:textId="2A6A3ABE" w:rsidR="000F00BA" w:rsidRDefault="000F00BA">
        <w:pPr>
          <w:pStyle w:val="Encabezado"/>
          <w:jc w:val="right"/>
        </w:pPr>
        <w:r>
          <w:fldChar w:fldCharType="begin"/>
        </w:r>
        <w:r>
          <w:instrText>PAGE   \* MERGEFORMAT</w:instrText>
        </w:r>
        <w:r>
          <w:fldChar w:fldCharType="separate"/>
        </w:r>
        <w:r w:rsidR="0054336F">
          <w:rPr>
            <w:noProof/>
          </w:rPr>
          <w:t>18</w:t>
        </w:r>
        <w:r>
          <w:fldChar w:fldCharType="end"/>
        </w:r>
      </w:p>
    </w:sdtContent>
  </w:sdt>
  <w:p w14:paraId="48712C0F" w14:textId="77777777" w:rsidR="000F00BA" w:rsidRDefault="000F00BA" w:rsidP="00F57A1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128C6"/>
    <w:multiLevelType w:val="multilevel"/>
    <w:tmpl w:val="AAC4CD48"/>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0F1C29"/>
    <w:multiLevelType w:val="multilevel"/>
    <w:tmpl w:val="97FE872E"/>
    <w:lvl w:ilvl="0">
      <w:start w:val="1"/>
      <w:numFmt w:val="upperRoman"/>
      <w:lvlText w:val="Capítulo %1. "/>
      <w:lvlJc w:val="left"/>
      <w:pPr>
        <w:tabs>
          <w:tab w:val="num" w:pos="17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5339D2"/>
    <w:multiLevelType w:val="multilevel"/>
    <w:tmpl w:val="A8F0686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6934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312DEA"/>
    <w:multiLevelType w:val="multilevel"/>
    <w:tmpl w:val="4212294C"/>
    <w:lvl w:ilvl="0">
      <w:start w:val="1"/>
      <w:numFmt w:val="decimal"/>
      <w:pStyle w:val="vietas-apendice-0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C0E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B53224"/>
    <w:multiLevelType w:val="multilevel"/>
    <w:tmpl w:val="FACCFC3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96317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DFA3F9A"/>
    <w:multiLevelType w:val="multilevel"/>
    <w:tmpl w:val="D5A4A87C"/>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0F93751"/>
    <w:multiLevelType w:val="hybridMultilevel"/>
    <w:tmpl w:val="ADDEA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CF4FE4"/>
    <w:multiLevelType w:val="hybridMultilevel"/>
    <w:tmpl w:val="9516E03E"/>
    <w:lvl w:ilvl="0" w:tplc="C7463F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E0798D"/>
    <w:multiLevelType w:val="multilevel"/>
    <w:tmpl w:val="7034DCC8"/>
    <w:numStyleLink w:val="tesisUP"/>
  </w:abstractNum>
  <w:abstractNum w:abstractNumId="12" w15:restartNumberingAfterBreak="0">
    <w:nsid w:val="32825808"/>
    <w:multiLevelType w:val="multilevel"/>
    <w:tmpl w:val="7034DCC8"/>
    <w:styleLink w:val="tesisUP"/>
    <w:lvl w:ilvl="0">
      <w:start w:val="1"/>
      <w:numFmt w:val="upperRoman"/>
      <w:pStyle w:val="Ttulo1"/>
      <w:lvlText w:val="Capítulo %1."/>
      <w:lvlJc w:val="left"/>
      <w:pPr>
        <w:ind w:left="0" w:firstLine="0"/>
      </w:pPr>
      <w:rPr>
        <w:rFonts w:asciiTheme="majorHAnsi" w:hAnsiTheme="majorHAnsi" w:hint="default"/>
        <w:b/>
        <w:sz w:val="22"/>
      </w:rPr>
    </w:lvl>
    <w:lvl w:ilvl="1">
      <w:start w:val="1"/>
      <w:numFmt w:val="decimal"/>
      <w:pStyle w:val="Ttulo2"/>
      <w:lvlText w:val="%2."/>
      <w:lvlJc w:val="left"/>
      <w:pPr>
        <w:ind w:left="340" w:hanging="340"/>
      </w:pPr>
      <w:rPr>
        <w:rFonts w:ascii="Times New Roman" w:hAnsi="Times New Roman" w:hint="default"/>
        <w:b/>
        <w:i w:val="0"/>
        <w:sz w:val="22"/>
      </w:rPr>
    </w:lvl>
    <w:lvl w:ilvl="2">
      <w:start w:val="1"/>
      <w:numFmt w:val="decimal"/>
      <w:pStyle w:val="Ttulo3"/>
      <w:lvlText w:val="%2.%3."/>
      <w:lvlJc w:val="left"/>
      <w:pPr>
        <w:ind w:left="340" w:hanging="340"/>
      </w:pPr>
      <w:rPr>
        <w:rFonts w:asciiTheme="majorHAnsi" w:hAnsiTheme="majorHAnsi" w:hint="default"/>
        <w:b/>
        <w:sz w:val="22"/>
      </w:rPr>
    </w:lvl>
    <w:lvl w:ilvl="3">
      <w:start w:val="1"/>
      <w:numFmt w:val="decimal"/>
      <w:pStyle w:val="Ttulo4"/>
      <w:lvlText w:val="%3.%4."/>
      <w:lvlJc w:val="left"/>
      <w:pPr>
        <w:ind w:left="340" w:hanging="340"/>
      </w:pPr>
      <w:rPr>
        <w:rFonts w:asciiTheme="majorHAnsi" w:hAnsiTheme="majorHAnsi" w:hint="default"/>
        <w:b/>
        <w:sz w:val="22"/>
      </w:rPr>
    </w:lvl>
    <w:lvl w:ilvl="4">
      <w:start w:val="1"/>
      <w:numFmt w:val="decimal"/>
      <w:lvlText w:val="%1.%2.%3.%4.%5."/>
      <w:lvlJc w:val="left"/>
      <w:pPr>
        <w:ind w:left="-57" w:firstLine="1800"/>
      </w:pPr>
      <w:rPr>
        <w:rFonts w:hint="default"/>
      </w:rPr>
    </w:lvl>
    <w:lvl w:ilvl="5">
      <w:start w:val="1"/>
      <w:numFmt w:val="decimal"/>
      <w:lvlText w:val="%1.%2.%3.%4.%5.%6."/>
      <w:lvlJc w:val="left"/>
      <w:pPr>
        <w:ind w:left="3039" w:hanging="936"/>
      </w:pPr>
      <w:rPr>
        <w:rFonts w:hint="default"/>
      </w:rPr>
    </w:lvl>
    <w:lvl w:ilvl="6">
      <w:start w:val="1"/>
      <w:numFmt w:val="decimal"/>
      <w:lvlText w:val="%1.%2.%3.%4.%5.%6.%7."/>
      <w:lvlJc w:val="left"/>
      <w:pPr>
        <w:ind w:left="3543" w:hanging="1080"/>
      </w:pPr>
      <w:rPr>
        <w:rFonts w:hint="default"/>
      </w:rPr>
    </w:lvl>
    <w:lvl w:ilvl="7">
      <w:start w:val="1"/>
      <w:numFmt w:val="decimal"/>
      <w:lvlText w:val="%1.%2.%3.%4.%5.%6.%7.%8."/>
      <w:lvlJc w:val="left"/>
      <w:pPr>
        <w:ind w:left="4047" w:hanging="1224"/>
      </w:pPr>
      <w:rPr>
        <w:rFonts w:hint="default"/>
      </w:rPr>
    </w:lvl>
    <w:lvl w:ilvl="8">
      <w:start w:val="1"/>
      <w:numFmt w:val="decimal"/>
      <w:lvlText w:val="%1.%2.%3.%4.%5.%6.%7.%8.%9."/>
      <w:lvlJc w:val="left"/>
      <w:pPr>
        <w:ind w:left="4623" w:hanging="1440"/>
      </w:pPr>
      <w:rPr>
        <w:rFonts w:hint="default"/>
      </w:rPr>
    </w:lvl>
  </w:abstractNum>
  <w:abstractNum w:abstractNumId="13" w15:restartNumberingAfterBreak="0">
    <w:nsid w:val="3BCD7060"/>
    <w:multiLevelType w:val="multilevel"/>
    <w:tmpl w:val="7034DCC8"/>
    <w:numStyleLink w:val="tesisUP"/>
  </w:abstractNum>
  <w:abstractNum w:abstractNumId="14" w15:restartNumberingAfterBreak="0">
    <w:nsid w:val="4E794CE7"/>
    <w:multiLevelType w:val="multilevel"/>
    <w:tmpl w:val="7034DCC8"/>
    <w:numStyleLink w:val="tesisUP"/>
  </w:abstractNum>
  <w:abstractNum w:abstractNumId="15" w15:restartNumberingAfterBreak="0">
    <w:nsid w:val="62216424"/>
    <w:multiLevelType w:val="multilevel"/>
    <w:tmpl w:val="C7800C84"/>
    <w:lvl w:ilvl="0">
      <w:start w:val="1"/>
      <w:numFmt w:val="decimal"/>
      <w:pStyle w:val="titulo-apendice-01"/>
      <w:lvlText w:val="%1."/>
      <w:lvlJc w:val="left"/>
      <w:pPr>
        <w:ind w:left="360" w:hanging="360"/>
      </w:pPr>
      <w:rPr>
        <w:rFonts w:hint="default"/>
      </w:rPr>
    </w:lvl>
    <w:lvl w:ilvl="1">
      <w:start w:val="1"/>
      <w:numFmt w:val="decimal"/>
      <w:pStyle w:val="subtitulos-apendice-01"/>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68363F93"/>
    <w:multiLevelType w:val="hybridMultilevel"/>
    <w:tmpl w:val="1AB4AA74"/>
    <w:lvl w:ilvl="0" w:tplc="9336ED74">
      <w:start w:val="1"/>
      <w:numFmt w:val="bullet"/>
      <w:lvlText w:val=""/>
      <w:lvlJc w:val="left"/>
      <w:pPr>
        <w:ind w:left="1068" w:hanging="360"/>
      </w:pPr>
      <w:rPr>
        <w:rFonts w:ascii="Symbol" w:hAnsi="Symbol" w:hint="default"/>
        <w:b w:val="0"/>
        <w:i w:val="0"/>
        <w:sz w:val="18"/>
        <w:szCs w:val="18"/>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7" w15:restartNumberingAfterBreak="0">
    <w:nsid w:val="6A78442E"/>
    <w:multiLevelType w:val="multilevel"/>
    <w:tmpl w:val="7034DCC8"/>
    <w:numStyleLink w:val="tesisUP"/>
  </w:abstractNum>
  <w:abstractNum w:abstractNumId="18" w15:restartNumberingAfterBreak="0">
    <w:nsid w:val="6D9777A4"/>
    <w:multiLevelType w:val="multilevel"/>
    <w:tmpl w:val="863A02BA"/>
    <w:styleLink w:val="estupup"/>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E340938"/>
    <w:multiLevelType w:val="multilevel"/>
    <w:tmpl w:val="3EF843E4"/>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rFonts w:hint="default"/>
        <w:b/>
        <w:i w:val="0"/>
        <w:sz w:val="22"/>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1D960F6"/>
    <w:multiLevelType w:val="multilevel"/>
    <w:tmpl w:val="48FE8B0A"/>
    <w:lvl w:ilvl="0">
      <w:start w:val="1"/>
      <w:numFmt w:val="upperRoman"/>
      <w:lvlText w:val="Capítulo %1. "/>
      <w:lvlJc w:val="left"/>
      <w:pPr>
        <w:tabs>
          <w:tab w:val="num" w:pos="170"/>
        </w:tabs>
        <w:ind w:left="0" w:firstLine="0"/>
      </w:pPr>
      <w:rPr>
        <w:rFonts w:hint="default"/>
        <w:b/>
        <w:i w:val="0"/>
        <w:sz w:val="22"/>
      </w:rPr>
    </w:lvl>
    <w:lvl w:ilvl="1">
      <w:start w:val="1"/>
      <w:numFmt w:val="decimal"/>
      <w:lvlText w:val="%2."/>
      <w:lvlJc w:val="left"/>
      <w:pPr>
        <w:ind w:left="1021" w:hanging="681"/>
      </w:pPr>
      <w:rPr>
        <w:rFonts w:hint="default"/>
        <w:b/>
        <w:i w:val="0"/>
        <w:sz w:val="22"/>
      </w:rPr>
    </w:lvl>
    <w:lvl w:ilvl="2">
      <w:start w:val="1"/>
      <w:numFmt w:val="decimal"/>
      <w:lvlText w:val="%2.%3."/>
      <w:lvlJc w:val="left"/>
      <w:pPr>
        <w:ind w:left="1134" w:hanging="79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3.%4."/>
      <w:lvlJc w:val="left"/>
      <w:pPr>
        <w:ind w:left="1191" w:hanging="624"/>
      </w:pPr>
      <w:rPr>
        <w:rFonts w:hint="default"/>
        <w:b/>
        <w:i w:val="0"/>
        <w:sz w:val="22"/>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
  </w:num>
  <w:num w:numId="3">
    <w:abstractNumId w:val="2"/>
  </w:num>
  <w:num w:numId="4">
    <w:abstractNumId w:val="4"/>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5"/>
  </w:num>
  <w:num w:numId="11">
    <w:abstractNumId w:val="3"/>
  </w:num>
  <w:num w:numId="12">
    <w:abstractNumId w:val="0"/>
  </w:num>
  <w:num w:numId="13">
    <w:abstractNumId w:val="6"/>
  </w:num>
  <w:num w:numId="14">
    <w:abstractNumId w:val="19"/>
  </w:num>
  <w:num w:numId="15">
    <w:abstractNumId w:val="12"/>
  </w:num>
  <w:num w:numId="16">
    <w:abstractNumId w:val="14"/>
  </w:num>
  <w:num w:numId="17">
    <w:abstractNumId w:val="1"/>
  </w:num>
  <w:num w:numId="18">
    <w:abstractNumId w:val="7"/>
  </w:num>
  <w:num w:numId="19">
    <w:abstractNumId w:val="18"/>
  </w:num>
  <w:num w:numId="20">
    <w:abstractNumId w:val="8"/>
  </w:num>
  <w:num w:numId="21">
    <w:abstractNumId w:val="20"/>
  </w:num>
  <w:num w:numId="22">
    <w:abstractNumId w:val="17"/>
  </w:num>
  <w:num w:numId="23">
    <w:abstractNumId w:val="11"/>
  </w:num>
  <w:num w:numId="24">
    <w:abstractNumId w:val="13"/>
  </w:num>
  <w:num w:numId="2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iego Uriarte">
    <w15:presenceInfo w15:providerId="None" w15:userId="Diego Uriart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D92"/>
    <w:rsid w:val="000271B0"/>
    <w:rsid w:val="0004424C"/>
    <w:rsid w:val="0006185D"/>
    <w:rsid w:val="00067D45"/>
    <w:rsid w:val="00091768"/>
    <w:rsid w:val="000B0CED"/>
    <w:rsid w:val="000B68B8"/>
    <w:rsid w:val="000D15A3"/>
    <w:rsid w:val="000E5223"/>
    <w:rsid w:val="000F00BA"/>
    <w:rsid w:val="00103A41"/>
    <w:rsid w:val="00105ABA"/>
    <w:rsid w:val="001162E9"/>
    <w:rsid w:val="00130F8F"/>
    <w:rsid w:val="00170A3D"/>
    <w:rsid w:val="00173517"/>
    <w:rsid w:val="00175C54"/>
    <w:rsid w:val="00180658"/>
    <w:rsid w:val="00197033"/>
    <w:rsid w:val="001B67D3"/>
    <w:rsid w:val="001D7AC0"/>
    <w:rsid w:val="001E55B1"/>
    <w:rsid w:val="00213DE0"/>
    <w:rsid w:val="002215C9"/>
    <w:rsid w:val="002215E6"/>
    <w:rsid w:val="002423DB"/>
    <w:rsid w:val="002757AF"/>
    <w:rsid w:val="002C12C7"/>
    <w:rsid w:val="002D26B3"/>
    <w:rsid w:val="002E0259"/>
    <w:rsid w:val="00301825"/>
    <w:rsid w:val="00314D2F"/>
    <w:rsid w:val="00333888"/>
    <w:rsid w:val="00374199"/>
    <w:rsid w:val="003A5534"/>
    <w:rsid w:val="003D593A"/>
    <w:rsid w:val="003D7632"/>
    <w:rsid w:val="00423B86"/>
    <w:rsid w:val="00445710"/>
    <w:rsid w:val="004762C5"/>
    <w:rsid w:val="00484455"/>
    <w:rsid w:val="00497B45"/>
    <w:rsid w:val="004C4ACE"/>
    <w:rsid w:val="004C7F43"/>
    <w:rsid w:val="004E229A"/>
    <w:rsid w:val="004E5926"/>
    <w:rsid w:val="004F75F4"/>
    <w:rsid w:val="005104A3"/>
    <w:rsid w:val="00513B65"/>
    <w:rsid w:val="00525E80"/>
    <w:rsid w:val="0054336F"/>
    <w:rsid w:val="005470C8"/>
    <w:rsid w:val="005526A5"/>
    <w:rsid w:val="0059570C"/>
    <w:rsid w:val="006227D3"/>
    <w:rsid w:val="006507EA"/>
    <w:rsid w:val="00662EB4"/>
    <w:rsid w:val="006707EB"/>
    <w:rsid w:val="006A62C8"/>
    <w:rsid w:val="006C1D5B"/>
    <w:rsid w:val="006C4AD8"/>
    <w:rsid w:val="006C6160"/>
    <w:rsid w:val="006D7A32"/>
    <w:rsid w:val="007152F3"/>
    <w:rsid w:val="0072529F"/>
    <w:rsid w:val="007A3BA0"/>
    <w:rsid w:val="007B4F71"/>
    <w:rsid w:val="00835398"/>
    <w:rsid w:val="00846295"/>
    <w:rsid w:val="00867976"/>
    <w:rsid w:val="008B699D"/>
    <w:rsid w:val="008D701F"/>
    <w:rsid w:val="008E2A06"/>
    <w:rsid w:val="00901A04"/>
    <w:rsid w:val="00924A41"/>
    <w:rsid w:val="00944BE0"/>
    <w:rsid w:val="009773EE"/>
    <w:rsid w:val="009A1D02"/>
    <w:rsid w:val="009A43D8"/>
    <w:rsid w:val="009B5FE5"/>
    <w:rsid w:val="009C691F"/>
    <w:rsid w:val="009D4F3E"/>
    <w:rsid w:val="00A04D30"/>
    <w:rsid w:val="00A55014"/>
    <w:rsid w:val="00A622D4"/>
    <w:rsid w:val="00A91D92"/>
    <w:rsid w:val="00AA059B"/>
    <w:rsid w:val="00AA3912"/>
    <w:rsid w:val="00AD5B83"/>
    <w:rsid w:val="00AE7D0B"/>
    <w:rsid w:val="00AF6545"/>
    <w:rsid w:val="00B17F3B"/>
    <w:rsid w:val="00B55601"/>
    <w:rsid w:val="00B714F9"/>
    <w:rsid w:val="00B838A8"/>
    <w:rsid w:val="00C5594F"/>
    <w:rsid w:val="00C72315"/>
    <w:rsid w:val="00C8650E"/>
    <w:rsid w:val="00CA34B5"/>
    <w:rsid w:val="00CB4A95"/>
    <w:rsid w:val="00CB4D1B"/>
    <w:rsid w:val="00CD64C6"/>
    <w:rsid w:val="00CF2550"/>
    <w:rsid w:val="00CF3910"/>
    <w:rsid w:val="00D26D6B"/>
    <w:rsid w:val="00D466ED"/>
    <w:rsid w:val="00D513A2"/>
    <w:rsid w:val="00D61883"/>
    <w:rsid w:val="00D86FD6"/>
    <w:rsid w:val="00D96538"/>
    <w:rsid w:val="00DA5659"/>
    <w:rsid w:val="00DA58E5"/>
    <w:rsid w:val="00DB36E8"/>
    <w:rsid w:val="00DE27ED"/>
    <w:rsid w:val="00E107A6"/>
    <w:rsid w:val="00E53480"/>
    <w:rsid w:val="00E66211"/>
    <w:rsid w:val="00E85234"/>
    <w:rsid w:val="00ED072A"/>
    <w:rsid w:val="00ED33D3"/>
    <w:rsid w:val="00F5278E"/>
    <w:rsid w:val="00F55691"/>
    <w:rsid w:val="00F57A1B"/>
    <w:rsid w:val="00F7414C"/>
    <w:rsid w:val="00FA2CF8"/>
    <w:rsid w:val="00FE424F"/>
    <w:rsid w:val="00FF3B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5A0E"/>
  <w15:chartTrackingRefBased/>
  <w15:docId w15:val="{6AD669E3-030C-4C5F-A9B2-C37DE7664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7A1B"/>
    <w:pPr>
      <w:spacing w:after="480" w:line="360" w:lineRule="auto"/>
      <w:jc w:val="both"/>
    </w:pPr>
    <w:rPr>
      <w:rFonts w:eastAsia="Times New Roman" w:cs="Times New Roman"/>
      <w:lang w:val="es-PE"/>
    </w:rPr>
  </w:style>
  <w:style w:type="paragraph" w:styleId="Ttulo1">
    <w:name w:val="heading 1"/>
    <w:basedOn w:val="Prrafodelista"/>
    <w:next w:val="Normal"/>
    <w:link w:val="Ttulo1Car"/>
    <w:uiPriority w:val="9"/>
    <w:qFormat/>
    <w:rsid w:val="000D15A3"/>
    <w:pPr>
      <w:numPr>
        <w:numId w:val="24"/>
      </w:numPr>
      <w:outlineLvl w:val="0"/>
    </w:pPr>
    <w:rPr>
      <w:b/>
    </w:rPr>
  </w:style>
  <w:style w:type="paragraph" w:styleId="Ttulo2">
    <w:name w:val="heading 2"/>
    <w:basedOn w:val="Normal"/>
    <w:next w:val="Normal"/>
    <w:link w:val="Ttulo2Car"/>
    <w:uiPriority w:val="9"/>
    <w:unhideWhenUsed/>
    <w:qFormat/>
    <w:rsid w:val="00DE27ED"/>
    <w:pPr>
      <w:keepNext/>
      <w:numPr>
        <w:ilvl w:val="1"/>
        <w:numId w:val="24"/>
      </w:numPr>
      <w:outlineLvl w:val="1"/>
    </w:pPr>
    <w:rPr>
      <w:b/>
    </w:rPr>
  </w:style>
  <w:style w:type="paragraph" w:styleId="Ttulo3">
    <w:name w:val="heading 3"/>
    <w:basedOn w:val="Prrafodelista"/>
    <w:next w:val="Normal"/>
    <w:link w:val="Ttulo3Car"/>
    <w:uiPriority w:val="9"/>
    <w:unhideWhenUsed/>
    <w:qFormat/>
    <w:rsid w:val="00DE27ED"/>
    <w:pPr>
      <w:keepNext/>
      <w:numPr>
        <w:ilvl w:val="2"/>
        <w:numId w:val="24"/>
      </w:numPr>
      <w:outlineLvl w:val="2"/>
    </w:pPr>
    <w:rPr>
      <w:b/>
    </w:rPr>
  </w:style>
  <w:style w:type="paragraph" w:styleId="Ttulo4">
    <w:name w:val="heading 4"/>
    <w:basedOn w:val="Normal"/>
    <w:next w:val="Normal"/>
    <w:link w:val="Ttulo4Car"/>
    <w:uiPriority w:val="9"/>
    <w:unhideWhenUsed/>
    <w:qFormat/>
    <w:rsid w:val="000D15A3"/>
    <w:pPr>
      <w:keepNext/>
      <w:keepLines/>
      <w:numPr>
        <w:ilvl w:val="3"/>
        <w:numId w:val="24"/>
      </w:numPr>
      <w:spacing w:before="40" w:after="0"/>
      <w:outlineLvl w:val="3"/>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ubtitulos-apendice-01">
    <w:name w:val="subtitulos-apendice-01"/>
    <w:basedOn w:val="Normal"/>
    <w:link w:val="subtitulos-apendice-01Car"/>
    <w:rsid w:val="00AA059B"/>
    <w:pPr>
      <w:keepNext/>
      <w:numPr>
        <w:ilvl w:val="1"/>
        <w:numId w:val="7"/>
      </w:numPr>
      <w:tabs>
        <w:tab w:val="num" w:pos="360"/>
      </w:tabs>
      <w:spacing w:after="0"/>
      <w:ind w:left="0" w:firstLine="0"/>
    </w:pPr>
    <w:rPr>
      <w:rFonts w:ascii="Arial" w:eastAsia="Calibri" w:hAnsi="Arial" w:cs="Arial"/>
      <w:b/>
      <w:sz w:val="20"/>
      <w:szCs w:val="20"/>
      <w:lang w:val="es-ES_tradnl"/>
    </w:rPr>
  </w:style>
  <w:style w:type="character" w:customStyle="1" w:styleId="subtitulos-apendice-01Car">
    <w:name w:val="subtitulos-apendice-01 Car"/>
    <w:basedOn w:val="Fuentedeprrafopredeter"/>
    <w:link w:val="subtitulos-apendice-01"/>
    <w:rsid w:val="00AA059B"/>
    <w:rPr>
      <w:rFonts w:ascii="Arial" w:eastAsia="Calibri" w:hAnsi="Arial" w:cs="Arial"/>
      <w:b/>
      <w:sz w:val="20"/>
      <w:szCs w:val="20"/>
      <w:lang w:val="es-ES_tradnl"/>
    </w:rPr>
  </w:style>
  <w:style w:type="paragraph" w:customStyle="1" w:styleId="texto-apendice01">
    <w:name w:val="texto-apendice01"/>
    <w:basedOn w:val="Normal"/>
    <w:link w:val="texto-apendice01Car"/>
    <w:rsid w:val="00AA059B"/>
    <w:pPr>
      <w:spacing w:after="240"/>
      <w:ind w:left="1134"/>
      <w:contextualSpacing/>
    </w:pPr>
    <w:rPr>
      <w:rFonts w:ascii="Arial" w:eastAsia="Calibri" w:hAnsi="Arial" w:cs="Arial"/>
      <w:sz w:val="20"/>
      <w:szCs w:val="20"/>
      <w:lang w:val="es-ES_tradnl"/>
    </w:rPr>
  </w:style>
  <w:style w:type="character" w:customStyle="1" w:styleId="texto-apendice01Car">
    <w:name w:val="texto-apendice01 Car"/>
    <w:basedOn w:val="Fuentedeprrafopredeter"/>
    <w:link w:val="texto-apendice01"/>
    <w:rsid w:val="00AA059B"/>
    <w:rPr>
      <w:rFonts w:ascii="Arial" w:eastAsia="Calibri" w:hAnsi="Arial" w:cs="Arial"/>
      <w:sz w:val="20"/>
      <w:szCs w:val="20"/>
      <w:lang w:val="es-ES_tradnl"/>
    </w:rPr>
  </w:style>
  <w:style w:type="paragraph" w:customStyle="1" w:styleId="titulo-apendice-01">
    <w:name w:val="titulo-apendice-01"/>
    <w:basedOn w:val="Prrafodelista"/>
    <w:link w:val="titulo-apendice-01Car"/>
    <w:rsid w:val="00AA059B"/>
    <w:pPr>
      <w:numPr>
        <w:numId w:val="7"/>
      </w:numPr>
      <w:spacing w:before="240" w:after="0"/>
    </w:pPr>
    <w:rPr>
      <w:rFonts w:ascii="Arial" w:eastAsia="Calibri" w:hAnsi="Arial" w:cs="Arial"/>
      <w:b/>
      <w:sz w:val="20"/>
      <w:szCs w:val="20"/>
      <w:u w:val="single"/>
      <w:lang w:val="es-ES_tradnl"/>
    </w:rPr>
  </w:style>
  <w:style w:type="character" w:customStyle="1" w:styleId="titulo-apendice-01Car">
    <w:name w:val="titulo-apendice-01 Car"/>
    <w:basedOn w:val="Fuentedeprrafopredeter"/>
    <w:link w:val="titulo-apendice-01"/>
    <w:rsid w:val="00AA059B"/>
    <w:rPr>
      <w:rFonts w:ascii="Arial" w:eastAsia="Calibri" w:hAnsi="Arial" w:cs="Arial"/>
      <w:b/>
      <w:sz w:val="20"/>
      <w:szCs w:val="20"/>
      <w:u w:val="single"/>
      <w:lang w:val="es-ES_tradnl"/>
    </w:rPr>
  </w:style>
  <w:style w:type="paragraph" w:styleId="Prrafodelista">
    <w:name w:val="List Paragraph"/>
    <w:basedOn w:val="Normal"/>
    <w:uiPriority w:val="34"/>
    <w:qFormat/>
    <w:rsid w:val="006D7A32"/>
    <w:pPr>
      <w:ind w:left="720"/>
      <w:contextualSpacing/>
    </w:pPr>
  </w:style>
  <w:style w:type="paragraph" w:customStyle="1" w:styleId="vietas-apendice-01">
    <w:name w:val="viñetas-apendice-01"/>
    <w:basedOn w:val="Normal"/>
    <w:link w:val="vietas-apendice-01Car"/>
    <w:rsid w:val="00AA059B"/>
    <w:pPr>
      <w:numPr>
        <w:numId w:val="8"/>
      </w:numPr>
      <w:spacing w:after="0"/>
      <w:contextualSpacing/>
    </w:pPr>
    <w:rPr>
      <w:rFonts w:ascii="Arial" w:eastAsia="Calibri" w:hAnsi="Arial" w:cs="Arial"/>
      <w:b/>
      <w:sz w:val="20"/>
      <w:szCs w:val="20"/>
    </w:rPr>
  </w:style>
  <w:style w:type="character" w:customStyle="1" w:styleId="vietas-apendice-01Car">
    <w:name w:val="viñetas-apendice-01 Car"/>
    <w:basedOn w:val="Fuentedeprrafopredeter"/>
    <w:link w:val="vietas-apendice-01"/>
    <w:rsid w:val="00AA059B"/>
    <w:rPr>
      <w:rFonts w:ascii="Arial" w:eastAsia="Calibri" w:hAnsi="Arial" w:cs="Arial"/>
      <w:b/>
      <w:sz w:val="20"/>
      <w:szCs w:val="20"/>
    </w:rPr>
  </w:style>
  <w:style w:type="character" w:styleId="Refdecomentario">
    <w:name w:val="annotation reference"/>
    <w:basedOn w:val="Fuentedeprrafopredeter"/>
    <w:uiPriority w:val="99"/>
    <w:semiHidden/>
    <w:unhideWhenUsed/>
    <w:rsid w:val="007B4F71"/>
    <w:rPr>
      <w:sz w:val="16"/>
      <w:szCs w:val="16"/>
    </w:rPr>
  </w:style>
  <w:style w:type="paragraph" w:styleId="Textocomentario">
    <w:name w:val="annotation text"/>
    <w:basedOn w:val="Normal"/>
    <w:link w:val="TextocomentarioCar"/>
    <w:uiPriority w:val="99"/>
    <w:unhideWhenUsed/>
    <w:rsid w:val="007B4F71"/>
    <w:pPr>
      <w:spacing w:line="240" w:lineRule="auto"/>
    </w:pPr>
    <w:rPr>
      <w:sz w:val="20"/>
      <w:szCs w:val="20"/>
    </w:rPr>
  </w:style>
  <w:style w:type="character" w:customStyle="1" w:styleId="TextocomentarioCar">
    <w:name w:val="Texto comentario Car"/>
    <w:basedOn w:val="Fuentedeprrafopredeter"/>
    <w:link w:val="Textocomentario"/>
    <w:uiPriority w:val="99"/>
    <w:rsid w:val="007B4F71"/>
    <w:rPr>
      <w:sz w:val="20"/>
      <w:szCs w:val="20"/>
    </w:rPr>
  </w:style>
  <w:style w:type="paragraph" w:styleId="Asuntodelcomentario">
    <w:name w:val="annotation subject"/>
    <w:basedOn w:val="Textocomentario"/>
    <w:next w:val="Textocomentario"/>
    <w:link w:val="AsuntodelcomentarioCar"/>
    <w:uiPriority w:val="99"/>
    <w:semiHidden/>
    <w:unhideWhenUsed/>
    <w:rsid w:val="007B4F71"/>
    <w:rPr>
      <w:b/>
      <w:bCs/>
    </w:rPr>
  </w:style>
  <w:style w:type="character" w:customStyle="1" w:styleId="AsuntodelcomentarioCar">
    <w:name w:val="Asunto del comentario Car"/>
    <w:basedOn w:val="TextocomentarioCar"/>
    <w:link w:val="Asuntodelcomentario"/>
    <w:uiPriority w:val="99"/>
    <w:semiHidden/>
    <w:rsid w:val="007B4F71"/>
    <w:rPr>
      <w:b/>
      <w:bCs/>
      <w:sz w:val="20"/>
      <w:szCs w:val="20"/>
    </w:rPr>
  </w:style>
  <w:style w:type="paragraph" w:styleId="Textodeglobo">
    <w:name w:val="Balloon Text"/>
    <w:basedOn w:val="Normal"/>
    <w:link w:val="TextodegloboCar"/>
    <w:uiPriority w:val="99"/>
    <w:semiHidden/>
    <w:unhideWhenUsed/>
    <w:rsid w:val="007B4F7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B4F71"/>
    <w:rPr>
      <w:rFonts w:ascii="Segoe UI" w:hAnsi="Segoe UI" w:cs="Segoe UI"/>
      <w:sz w:val="18"/>
      <w:szCs w:val="18"/>
    </w:rPr>
  </w:style>
  <w:style w:type="paragraph" w:customStyle="1" w:styleId="Espacidoentreprrafos">
    <w:name w:val="Espacido entre párrafos"/>
    <w:basedOn w:val="Normal"/>
    <w:link w:val="EspacidoentreprrafosCar"/>
    <w:qFormat/>
    <w:rsid w:val="00170A3D"/>
    <w:pPr>
      <w:spacing w:line="240" w:lineRule="atLeast"/>
    </w:pPr>
  </w:style>
  <w:style w:type="paragraph" w:styleId="Encabezado">
    <w:name w:val="header"/>
    <w:basedOn w:val="Normal"/>
    <w:link w:val="EncabezadoCar"/>
    <w:uiPriority w:val="99"/>
    <w:unhideWhenUsed/>
    <w:rsid w:val="00170A3D"/>
    <w:pPr>
      <w:tabs>
        <w:tab w:val="center" w:pos="4419"/>
        <w:tab w:val="right" w:pos="8838"/>
      </w:tabs>
      <w:spacing w:line="240" w:lineRule="auto"/>
    </w:pPr>
    <w:rPr>
      <w:sz w:val="18"/>
    </w:rPr>
  </w:style>
  <w:style w:type="character" w:customStyle="1" w:styleId="EspacidoentreprrafosCar">
    <w:name w:val="Espacido entre párrafos Car"/>
    <w:basedOn w:val="Fuentedeprrafopredeter"/>
    <w:link w:val="Espacidoentreprrafos"/>
    <w:rsid w:val="00170A3D"/>
  </w:style>
  <w:style w:type="character" w:customStyle="1" w:styleId="EncabezadoCar">
    <w:name w:val="Encabezado Car"/>
    <w:basedOn w:val="Fuentedeprrafopredeter"/>
    <w:link w:val="Encabezado"/>
    <w:uiPriority w:val="99"/>
    <w:rsid w:val="00170A3D"/>
    <w:rPr>
      <w:sz w:val="18"/>
    </w:rPr>
  </w:style>
  <w:style w:type="paragraph" w:styleId="Piedepgina">
    <w:name w:val="footer"/>
    <w:basedOn w:val="Normal"/>
    <w:link w:val="PiedepginaCar"/>
    <w:uiPriority w:val="99"/>
    <w:unhideWhenUsed/>
    <w:rsid w:val="00170A3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70A3D"/>
  </w:style>
  <w:style w:type="character" w:customStyle="1" w:styleId="Ttulo1Car">
    <w:name w:val="Título 1 Car"/>
    <w:basedOn w:val="Fuentedeprrafopredeter"/>
    <w:link w:val="Ttulo1"/>
    <w:uiPriority w:val="9"/>
    <w:rsid w:val="002C12C7"/>
    <w:rPr>
      <w:rFonts w:eastAsia="Times New Roman" w:cs="Times New Roman"/>
      <w:b/>
    </w:rPr>
  </w:style>
  <w:style w:type="character" w:customStyle="1" w:styleId="Ttulo2Car">
    <w:name w:val="Título 2 Car"/>
    <w:basedOn w:val="Fuentedeprrafopredeter"/>
    <w:link w:val="Ttulo2"/>
    <w:uiPriority w:val="9"/>
    <w:rsid w:val="00DE27ED"/>
    <w:rPr>
      <w:rFonts w:eastAsia="Times New Roman" w:cs="Times New Roman"/>
      <w:b/>
    </w:rPr>
  </w:style>
  <w:style w:type="paragraph" w:styleId="Textonotapie">
    <w:name w:val="footnote text"/>
    <w:basedOn w:val="Normal"/>
    <w:link w:val="TextonotapieCar"/>
    <w:uiPriority w:val="99"/>
    <w:unhideWhenUsed/>
    <w:rsid w:val="000271B0"/>
    <w:pPr>
      <w:spacing w:line="240" w:lineRule="auto"/>
    </w:pPr>
    <w:rPr>
      <w:sz w:val="20"/>
      <w:szCs w:val="20"/>
    </w:rPr>
  </w:style>
  <w:style w:type="character" w:customStyle="1" w:styleId="TextonotapieCar">
    <w:name w:val="Texto nota pie Car"/>
    <w:basedOn w:val="Fuentedeprrafopredeter"/>
    <w:link w:val="Textonotapie"/>
    <w:uiPriority w:val="99"/>
    <w:rsid w:val="000271B0"/>
    <w:rPr>
      <w:sz w:val="20"/>
      <w:szCs w:val="20"/>
    </w:rPr>
  </w:style>
  <w:style w:type="character" w:styleId="Refdenotaalpie">
    <w:name w:val="footnote reference"/>
    <w:basedOn w:val="Fuentedeprrafopredeter"/>
    <w:uiPriority w:val="99"/>
    <w:semiHidden/>
    <w:unhideWhenUsed/>
    <w:rsid w:val="000271B0"/>
    <w:rPr>
      <w:vertAlign w:val="superscript"/>
    </w:rPr>
  </w:style>
  <w:style w:type="character" w:styleId="Textodelmarcadordeposicin">
    <w:name w:val="Placeholder Text"/>
    <w:basedOn w:val="Fuentedeprrafopredeter"/>
    <w:uiPriority w:val="99"/>
    <w:semiHidden/>
    <w:rsid w:val="00C72315"/>
    <w:rPr>
      <w:color w:val="808080"/>
    </w:rPr>
  </w:style>
  <w:style w:type="character" w:customStyle="1" w:styleId="Ttulo3Car">
    <w:name w:val="Título 3 Car"/>
    <w:basedOn w:val="Fuentedeprrafopredeter"/>
    <w:link w:val="Ttulo3"/>
    <w:uiPriority w:val="9"/>
    <w:rsid w:val="00DE27ED"/>
    <w:rPr>
      <w:rFonts w:eastAsia="Times New Roman" w:cs="Times New Roman"/>
      <w:b/>
    </w:rPr>
  </w:style>
  <w:style w:type="paragraph" w:styleId="Bibliografa">
    <w:name w:val="Bibliography"/>
    <w:basedOn w:val="Normal"/>
    <w:next w:val="Normal"/>
    <w:uiPriority w:val="37"/>
    <w:unhideWhenUsed/>
    <w:rsid w:val="005104A3"/>
    <w:pPr>
      <w:spacing w:after="120" w:line="240" w:lineRule="auto"/>
    </w:pPr>
  </w:style>
  <w:style w:type="numbering" w:customStyle="1" w:styleId="tesisUP">
    <w:name w:val="tesis UP"/>
    <w:uiPriority w:val="99"/>
    <w:rsid w:val="000D15A3"/>
    <w:pPr>
      <w:numPr>
        <w:numId w:val="15"/>
      </w:numPr>
    </w:pPr>
  </w:style>
  <w:style w:type="numbering" w:customStyle="1" w:styleId="estupup">
    <w:name w:val="estup up"/>
    <w:uiPriority w:val="99"/>
    <w:rsid w:val="000D15A3"/>
    <w:pPr>
      <w:numPr>
        <w:numId w:val="19"/>
      </w:numPr>
    </w:pPr>
  </w:style>
  <w:style w:type="paragraph" w:styleId="Descripcin">
    <w:name w:val="caption"/>
    <w:basedOn w:val="Normal"/>
    <w:next w:val="Normal"/>
    <w:uiPriority w:val="35"/>
    <w:semiHidden/>
    <w:unhideWhenUsed/>
    <w:qFormat/>
    <w:rsid w:val="00F7414C"/>
    <w:pPr>
      <w:spacing w:after="200" w:line="240" w:lineRule="auto"/>
    </w:pPr>
    <w:rPr>
      <w:i/>
      <w:iCs/>
      <w:color w:val="1F497D" w:themeColor="text2"/>
      <w:sz w:val="18"/>
      <w:szCs w:val="18"/>
    </w:rPr>
  </w:style>
  <w:style w:type="character" w:customStyle="1" w:styleId="Ttulo4Car">
    <w:name w:val="Título 4 Car"/>
    <w:basedOn w:val="Fuentedeprrafopredeter"/>
    <w:link w:val="Ttulo4"/>
    <w:uiPriority w:val="9"/>
    <w:rsid w:val="000D15A3"/>
    <w:rPr>
      <w:rFonts w:asciiTheme="majorHAnsi" w:eastAsiaTheme="majorEastAsia" w:hAnsiTheme="majorHAnsi" w:cstheme="majorBidi"/>
      <w:iCs/>
    </w:rPr>
  </w:style>
  <w:style w:type="table" w:styleId="Tablaconcuadrcula">
    <w:name w:val="Table Grid"/>
    <w:basedOn w:val="Tablanormal"/>
    <w:uiPriority w:val="59"/>
    <w:rsid w:val="000F00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0F00B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0F00B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10292">
      <w:bodyDiv w:val="1"/>
      <w:marLeft w:val="0"/>
      <w:marRight w:val="0"/>
      <w:marTop w:val="0"/>
      <w:marBottom w:val="0"/>
      <w:divBdr>
        <w:top w:val="none" w:sz="0" w:space="0" w:color="auto"/>
        <w:left w:val="none" w:sz="0" w:space="0" w:color="auto"/>
        <w:bottom w:val="none" w:sz="0" w:space="0" w:color="auto"/>
        <w:right w:val="none" w:sz="0" w:space="0" w:color="auto"/>
      </w:divBdr>
    </w:div>
    <w:div w:id="260070433">
      <w:bodyDiv w:val="1"/>
      <w:marLeft w:val="0"/>
      <w:marRight w:val="0"/>
      <w:marTop w:val="0"/>
      <w:marBottom w:val="0"/>
      <w:divBdr>
        <w:top w:val="none" w:sz="0" w:space="0" w:color="auto"/>
        <w:left w:val="none" w:sz="0" w:space="0" w:color="auto"/>
        <w:bottom w:val="none" w:sz="0" w:space="0" w:color="auto"/>
        <w:right w:val="none" w:sz="0" w:space="0" w:color="auto"/>
      </w:divBdr>
    </w:div>
    <w:div w:id="609316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2.png"/></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B78BB8-C40C-41A5-B453-7B132C8B7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4205</TotalTime>
  <Pages>21</Pages>
  <Words>10671</Words>
  <Characters>60829</Characters>
  <Application>Microsoft Office Word</Application>
  <DocSecurity>0</DocSecurity>
  <Lines>506</Lines>
  <Paragraphs>142</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71358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Uriarte</dc:creator>
  <cp:keywords/>
  <dc:description/>
  <cp:lastModifiedBy>Diego Uriarte</cp:lastModifiedBy>
  <cp:revision>49</cp:revision>
  <dcterms:created xsi:type="dcterms:W3CDTF">2019-03-30T14:01:00Z</dcterms:created>
  <dcterms:modified xsi:type="dcterms:W3CDTF">2019-04-11T00:37:00Z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id="kML8xmnp"/&gt;&lt;style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