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CE14A" w14:textId="77777777" w:rsidR="00CD64C6" w:rsidRDefault="00CD64C6">
      <w:pPr>
        <w:spacing w:after="200" w:line="276" w:lineRule="auto"/>
        <w:jc w:val="left"/>
      </w:pPr>
      <w:r>
        <w:t>CARATULA</w:t>
      </w:r>
    </w:p>
    <w:p w14:paraId="20F60047" w14:textId="77777777" w:rsidR="00CD64C6" w:rsidRDefault="00CD64C6">
      <w:pPr>
        <w:spacing w:after="200" w:line="276" w:lineRule="auto"/>
        <w:jc w:val="left"/>
      </w:pPr>
      <w:r>
        <w:br w:type="page"/>
      </w:r>
    </w:p>
    <w:p w14:paraId="3D1333CF" w14:textId="77777777" w:rsidR="00CD64C6" w:rsidRDefault="00CD64C6">
      <w:pPr>
        <w:spacing w:after="200" w:line="276" w:lineRule="auto"/>
        <w:jc w:val="left"/>
      </w:pPr>
      <w:r>
        <w:lastRenderedPageBreak/>
        <w:t>DEDICATORIA</w:t>
      </w:r>
    </w:p>
    <w:p w14:paraId="2C031199" w14:textId="77777777" w:rsidR="00CD64C6" w:rsidRDefault="00CD64C6">
      <w:pPr>
        <w:spacing w:after="200" w:line="276" w:lineRule="auto"/>
        <w:jc w:val="left"/>
      </w:pPr>
      <w:r>
        <w:br w:type="page"/>
      </w:r>
    </w:p>
    <w:p w14:paraId="2873C896" w14:textId="77777777" w:rsidR="00CD64C6" w:rsidRDefault="00CD64C6">
      <w:pPr>
        <w:spacing w:after="200" w:line="276" w:lineRule="auto"/>
        <w:jc w:val="left"/>
      </w:pPr>
      <w:r>
        <w:lastRenderedPageBreak/>
        <w:t>INDICE</w:t>
      </w:r>
    </w:p>
    <w:p w14:paraId="2599185F" w14:textId="77777777" w:rsidR="00CD64C6" w:rsidRDefault="00CD64C6">
      <w:pPr>
        <w:spacing w:after="200" w:line="276" w:lineRule="auto"/>
        <w:jc w:val="left"/>
      </w:pPr>
      <w:r>
        <w:br w:type="page"/>
      </w:r>
    </w:p>
    <w:p w14:paraId="6A0A5870" w14:textId="77777777" w:rsidR="00CD64C6" w:rsidRDefault="00CD64C6">
      <w:pPr>
        <w:spacing w:after="200" w:line="276" w:lineRule="auto"/>
        <w:jc w:val="left"/>
      </w:pPr>
      <w:r>
        <w:lastRenderedPageBreak/>
        <w:t>INDICE DE TABLAS</w:t>
      </w:r>
    </w:p>
    <w:p w14:paraId="6BCDD342" w14:textId="77777777" w:rsidR="00CD64C6" w:rsidRDefault="00CD64C6">
      <w:pPr>
        <w:spacing w:after="200" w:line="276" w:lineRule="auto"/>
        <w:jc w:val="left"/>
      </w:pPr>
      <w:r>
        <w:br w:type="page"/>
      </w:r>
    </w:p>
    <w:p w14:paraId="71F4A8E3" w14:textId="77777777" w:rsidR="00CD64C6" w:rsidRDefault="00CD64C6">
      <w:pPr>
        <w:spacing w:after="200" w:line="276" w:lineRule="auto"/>
        <w:jc w:val="left"/>
      </w:pPr>
      <w:r>
        <w:lastRenderedPageBreak/>
        <w:t>INDICE DE GRAFICOS</w:t>
      </w:r>
    </w:p>
    <w:p w14:paraId="668B6973" w14:textId="77777777" w:rsidR="00CD64C6" w:rsidRDefault="00CD64C6">
      <w:pPr>
        <w:spacing w:after="200" w:line="276" w:lineRule="auto"/>
        <w:jc w:val="left"/>
      </w:pPr>
      <w:r>
        <w:br w:type="page"/>
      </w:r>
    </w:p>
    <w:p w14:paraId="6CB3E91E" w14:textId="54B9C6E6" w:rsidR="002215E6" w:rsidRPr="002C12C7" w:rsidRDefault="00A91D92" w:rsidP="000D15A3">
      <w:pPr>
        <w:pStyle w:val="Ttulo1"/>
      </w:pPr>
      <w:r w:rsidRPr="002C12C7">
        <w:lastRenderedPageBreak/>
        <w:t>Introducción</w:t>
      </w:r>
    </w:p>
    <w:p w14:paraId="7587CDA5" w14:textId="4CBA3EF4" w:rsidR="00170A3D" w:rsidRDefault="005470C8" w:rsidP="00F57A1B">
      <w:commentRangeStart w:id="0"/>
      <w:r>
        <w:t>Los</w:t>
      </w:r>
      <w:commentRangeEnd w:id="0"/>
      <w:r w:rsidR="003D593A">
        <w:rPr>
          <w:rStyle w:val="Refdecomentario"/>
        </w:rPr>
        <w:commentReference w:id="0"/>
      </w:r>
      <w:r>
        <w:t xml:space="preserve">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51E74A0C"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w:t>
      </w:r>
      <w:commentRangeStart w:id="1"/>
      <w:r w:rsidR="007B4F71">
        <w:t>preferencias</w:t>
      </w:r>
      <w:commentRangeEnd w:id="1"/>
      <w:r w:rsidR="00513B65">
        <w:rPr>
          <w:rStyle w:val="Refdecomentario"/>
        </w:rPr>
        <w:commentReference w:id="1"/>
      </w:r>
      <w:r w:rsidR="007B4F71">
        <w:t xml:space="preserve">. </w:t>
      </w:r>
      <w:commentRangeStart w:id="2"/>
      <w:r w:rsidR="007B4F71">
        <w:t>Sin embargo, los individuos también incurren en costos de movilización al elegir una estación, y a su vez las estaciones compiten m</w:t>
      </w:r>
      <w:commentRangeEnd w:id="2"/>
      <w:r w:rsidR="007B4F71">
        <w:rPr>
          <w:rStyle w:val="Refdecomentario"/>
        </w:rPr>
        <w:commentReference w:id="2"/>
      </w:r>
    </w:p>
    <w:p w14:paraId="01082AC7" w14:textId="3E76900F" w:rsidR="00513B65" w:rsidRDefault="00513B65" w:rsidP="00F57A1B">
      <w:r>
        <w:t xml:space="preserve">En el caso de Perú, los precios de los combustibles son fuente común de noticias debido a sus impactos directos e indirectos en la población. En el Perú, el XX% tiene acceso a un auto privado, en tanto que ese porcentaje se eleva a YY% en el caso de Lima. A su vez, el transporte público que traslada al ZZ% de la ciudad funciona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6C145995" w:rsidR="00A04D30" w:rsidRPr="00662EB4" w:rsidRDefault="00A04D30" w:rsidP="00F57A1B">
      <w:r w:rsidRPr="00662EB4">
        <w:t>A pesar del interés público en los precios de los combustibles, son pocas las contribuciones de la literatura en este tema. En ese sentido</w:t>
      </w:r>
      <w:r w:rsidR="00D61883">
        <w:t xml:space="preserve">, el trabajo de Aurazo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w:t>
      </w:r>
      <w:r w:rsidRPr="00662EB4">
        <w:lastRenderedPageBreak/>
        <w:t>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con complicaciones de contar con información de cantidades vendidas.</w:t>
      </w:r>
    </w:p>
    <w:p w14:paraId="106CECF0" w14:textId="66ACF221" w:rsidR="006707EB" w:rsidRDefault="006707EB" w:rsidP="00F57A1B">
      <w:r w:rsidRPr="00662EB4">
        <w:t xml:space="preserve">Bajo </w:t>
      </w:r>
      <w:commentRangeStart w:id="3"/>
      <w:r w:rsidRPr="00662EB4">
        <w:t xml:space="preserve">esta </w:t>
      </w:r>
      <w:commentRangeEnd w:id="3"/>
      <w:r w:rsidR="00170A3D">
        <w:rPr>
          <w:rStyle w:val="Refdecomentario"/>
        </w:rPr>
        <w:commentReference w:id="3"/>
      </w:r>
      <w:r w:rsidRPr="00662EB4">
        <w:t>coyuntura, la presente</w:t>
      </w:r>
      <w:r w:rsidR="002215C9">
        <w:t xml:space="preserve"> investigación busca identificar las principales variables asociadas con las diferencias de precios registradas en las estaciones y la variación de precios entre mercados considerando el rol de la ubicación geográfica de las estaciones en el análisis. Como segundo objetivo, el trabajo analiza el impacto de una adquisición de YY% de estaciones operativas en Lima Metropolitana y su efecto en los precios en los mercados afectados. La información de precios de combustibles se obtiene de la base de datos de Facilito provista por OSINERGMIN para los años 2017 y 2018. Por otra parte, la información de las características de las estaciones fue recolectada manualmente.</w:t>
      </w:r>
    </w:p>
    <w:p w14:paraId="5A961EBA" w14:textId="0C2316C9" w:rsidR="006707EB" w:rsidRDefault="00173517" w:rsidP="00F57A1B">
      <w:r>
        <w:t>E</w:t>
      </w:r>
      <w:r w:rsidR="006707EB" w:rsidRPr="00662EB4">
        <w:t>l presente trabajo se organiza de la siguiente manera. El capítulo II contiene el marco teórico que describe el estado actual de la literatura en lo concerniente a competencia espacial y con respecto a mercados de combustible</w:t>
      </w:r>
      <w:r w:rsidR="006707EB">
        <w:t xml:space="preserve">s líquidos.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336034D9" w:rsidR="00A91D92" w:rsidRDefault="001D7AC0" w:rsidP="000D15A3">
      <w:pPr>
        <w:pStyle w:val="Ttulo1"/>
      </w:pPr>
      <w:bookmarkStart w:id="4" w:name="_Ref5724450"/>
      <w:commentRangeStart w:id="5"/>
      <w:r w:rsidRPr="002C12C7">
        <w:lastRenderedPageBreak/>
        <w:t>Marco</w:t>
      </w:r>
      <w:r>
        <w:t xml:space="preserve"> Teórico</w:t>
      </w:r>
      <w:commentRangeEnd w:id="5"/>
      <w:r w:rsidR="00FA2CF8">
        <w:rPr>
          <w:rStyle w:val="Refdecomentario"/>
          <w:b w:val="0"/>
        </w:rPr>
        <w:commentReference w:id="5"/>
      </w:r>
      <w:bookmarkEnd w:id="4"/>
    </w:p>
    <w:p w14:paraId="535D3837" w14:textId="4FE52810" w:rsidR="00FE424F" w:rsidRPr="002C12C7" w:rsidRDefault="00FE424F" w:rsidP="002C12C7">
      <w:pPr>
        <w:pStyle w:val="Ttulo2"/>
      </w:pPr>
      <w:r w:rsidRPr="002C12C7">
        <w:t>Generalidades sobre el mercado de combustibles líquidos</w:t>
      </w:r>
    </w:p>
    <w:p w14:paraId="66F55489" w14:textId="25639533" w:rsidR="008D701F"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77777777" w:rsidR="000271B0" w:rsidRDefault="00FE424F" w:rsidP="00F57A1B">
      <w:r>
        <w:t xml:space="preserve">Los combustibles líquidos se producen en complejos industriales a partir del crudo de petróleo. </w:t>
      </w:r>
      <w:r w:rsidR="008D701F">
        <w:t xml:space="preserve">Debido a ser un </w:t>
      </w:r>
      <w:r w:rsidR="008D701F">
        <w:rPr>
          <w:i/>
        </w:rPr>
        <w:t xml:space="preserve">commodity,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43B52888"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6" w:name="_Ref5566273"/>
      <w:r w:rsidRPr="00FA2CF8">
        <w:lastRenderedPageBreak/>
        <w:t xml:space="preserve">Revisión de la </w:t>
      </w:r>
      <w:r w:rsidRPr="002C12C7">
        <w:t>literatura</w:t>
      </w:r>
      <w:bookmarkEnd w:id="6"/>
    </w:p>
    <w:p w14:paraId="05C3DCF3" w14:textId="1DDFEAE2"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r w:rsidR="00D466ED">
        <w:t xml:space="preserve">Clemenz y Gugler </w:t>
      </w:r>
      <w:r w:rsidRPr="00FA2CF8">
        <w:fldChar w:fldCharType="begin"/>
      </w:r>
      <w:r w:rsidR="00D466ED">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1435-8921","shortTitle":"Locational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Contín-Pilart</w:t>
      </w:r>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p>
    <w:p w14:paraId="64852463" w14:textId="1D5E1413" w:rsidR="00FA2CF8" w:rsidRP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Pr="00FA2CF8">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1432-0592","shortTitle":"Spatial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r w:rsidRPr="00FA2CF8">
        <w:rPr>
          <w:rFonts w:ascii="Times New Roman" w:hAnsi="Times New Roman"/>
        </w:rPr>
        <w:t>Alderighi y Baudino</w:t>
      </w:r>
      <w:r w:rsidRPr="00FA2CF8">
        <w:t xml:space="preserve"> </w:t>
      </w:r>
      <w:r w:rsidRPr="00FA2CF8">
        <w:fldChar w:fldCharType="begin"/>
      </w:r>
      <w:r w:rsidRPr="00FA2CF8">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km.","URL":"https://linkinghub.elsevier.com/retrieve/pii/S0140988315001401","DOI":"10.1016/j.eneco.2015.04.017","ISSN":"01409883","shortTitle":"The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D466ED">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Scholar","shortTitle":"Spatial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interespacial.</w:t>
      </w:r>
      <w:r w:rsidR="00D466ED">
        <w:t xml:space="preserve"> Pennerstorfer halla …</w:t>
      </w:r>
    </w:p>
    <w:p w14:paraId="23CEEC6A" w14:textId="4B413193" w:rsidR="00FA2CF8" w:rsidRPr="00FA2CF8" w:rsidRDefault="00FA2CF8" w:rsidP="00F57A1B">
      <w:r w:rsidRPr="00FA2CF8">
        <w:t>Finalmente, algunos autores han utilizado eventos exógenos para evaluar los efectos de fusi</w:t>
      </w:r>
      <w:r w:rsidRPr="00FA2CF8">
        <w:fldChar w:fldCharType="begin"/>
      </w:r>
      <w:r w:rsidR="0004424C">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Hosken </w:t>
      </w:r>
      <w:r w:rsidRPr="00FA2CF8">
        <w:fldChar w:fldCharType="begin"/>
      </w:r>
      <w:r w:rsidRPr="00FA2CF8">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Pr="00FA2CF8">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Weiss </w:t>
      </w:r>
      <w:r w:rsidRPr="00FA2CF8">
        <w:fldChar w:fldCharType="begin"/>
      </w:r>
      <w:r w:rsidRPr="00FA2CF8">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Pr="00FA2CF8">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Review","page":"317-328","volume":"94","issue":"1","source":"JSTOR","URL":"https://www.jstor.org/stable/3592781","ISSN":"0002-8282","shortTitle":"Vertical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p>
    <w:p w14:paraId="58B021A0" w14:textId="7F674AF8" w:rsidR="00B714F9" w:rsidRDefault="00FA2CF8" w:rsidP="00F57A1B">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Slade </w:t>
      </w:r>
      <w:r w:rsidRPr="00FA2CF8">
        <w:fldChar w:fldCharType="begin"/>
      </w:r>
      <w:r w:rsidRPr="00FA2CF8">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Studies","page":"257","volume":"59","issue":"2","source":"Crossref","URL":"https://academic.oup.com/restud/article-lookup/doi/10.2307/2297954","DOI":"10.2307/2297954","ISSN":"00346527","shortTitle":"Vancouver's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Houde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Manuszak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w:t>
      </w:r>
      <w:r w:rsidRPr="00FA2CF8">
        <w:lastRenderedPageBreak/>
        <w:t>volúmenes adquiridas a firmas especializadas en mercados de combustibles en Canadá y EE.UU.</w:t>
      </w:r>
      <w:r w:rsidR="00B714F9">
        <w:t xml:space="preserve"> Houde encuentra que …. Mientras que Manuszak halla que …</w:t>
      </w:r>
    </w:p>
    <w:p w14:paraId="38B4137D" w14:textId="62669783" w:rsidR="00B714F9" w:rsidRDefault="00B714F9" w:rsidP="002C12C7">
      <w:pPr>
        <w:pStyle w:val="Ttulo2"/>
      </w:pPr>
      <w:r w:rsidRPr="00CD64C6">
        <w:t>Modelos</w:t>
      </w:r>
      <w:r>
        <w:t xml:space="preserve"> de econometría espacial</w:t>
      </w:r>
    </w:p>
    <w:p w14:paraId="14CF6DA9" w14:textId="6FE0A536" w:rsidR="004C4ACE" w:rsidRPr="002C12C7" w:rsidRDefault="004C4ACE" w:rsidP="002C12C7">
      <w:pPr>
        <w:pStyle w:val="Ttulo3"/>
      </w:pPr>
      <w:r w:rsidRPr="002C12C7">
        <w:t>Modelo general de Manski</w:t>
      </w:r>
    </w:p>
    <w:p w14:paraId="06A4C3EE" w14:textId="527B8AC8" w:rsidR="0004424C" w:rsidRDefault="0004424C" w:rsidP="0004424C">
      <w:r>
        <w:t xml:space="preserve">En esta sección realizamos una revisión de los modelos lineales de dependencia espacial para corte transversal y panel. La discusión sigue lo descrito por Elhorst </w:t>
      </w:r>
      <w:r>
        <w:fldChar w:fldCharType="begin"/>
      </w:r>
      <w:r>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t xml:space="preserve"> y </w:t>
      </w:r>
      <w:r w:rsidRPr="0004424C">
        <w:rPr>
          <w:highlight w:val="yellow"/>
        </w:rPr>
        <w:t>…</w:t>
      </w:r>
    </w:p>
    <w:p w14:paraId="5DC0005C" w14:textId="432628E1"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Scholar","shortTitle":"Identification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03DCFD83"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las interacciones de las características observables vecinas,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7" w:name="_Ref5724351"/>
      <w:r>
        <w:lastRenderedPageBreak/>
        <w:t>Modelos derivados del modelo de Manski</w:t>
      </w:r>
      <w:bookmarkEnd w:id="7"/>
    </w:p>
    <w:p w14:paraId="73F0EF7B" w14:textId="171E60B9"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modelos se muestra en la figura tal…</w:t>
      </w:r>
    </w:p>
    <w:p w14:paraId="03715B5F" w14:textId="66A3750B" w:rsidR="00AD5B83" w:rsidRDefault="00AD5B83" w:rsidP="00AD5B83">
      <w:r>
        <w:rPr>
          <w:noProof/>
        </w:rPr>
        <mc:AlternateContent>
          <mc:Choice Requires="wps">
            <w:drawing>
              <wp:anchor distT="45720" distB="45720" distL="114300" distR="114300" simplePos="0" relativeHeight="251661312" behindDoc="0" locked="0" layoutInCell="1" allowOverlap="1" wp14:anchorId="27CE17EA" wp14:editId="102FA733">
                <wp:simplePos x="0" y="0"/>
                <wp:positionH relativeFrom="column">
                  <wp:posOffset>819150</wp:posOffset>
                </wp:positionH>
                <wp:positionV relativeFrom="paragraph">
                  <wp:posOffset>0</wp:posOffset>
                </wp:positionV>
                <wp:extent cx="3752850" cy="179070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790700"/>
                        </a:xfrm>
                        <a:prstGeom prst="rect">
                          <a:avLst/>
                        </a:prstGeom>
                        <a:solidFill>
                          <a:srgbClr val="FFFFFF"/>
                        </a:solidFill>
                        <a:ln w="9525">
                          <a:solidFill>
                            <a:srgbClr val="000000"/>
                          </a:solidFill>
                          <a:miter lim="800000"/>
                          <a:headEnd/>
                          <a:tailEnd/>
                        </a:ln>
                      </wps:spPr>
                      <wps:txbx>
                        <w:txbxContent>
                          <w:p w14:paraId="4D3E392A" w14:textId="5CAC01DF" w:rsidR="002215E6" w:rsidRDefault="002215E6" w:rsidP="00AD5B83">
                            <w:r>
                              <w:t>Figura 1 de elhorst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E17EA" id="_x0000_t202" coordsize="21600,21600" o:spt="202" path="m,l,21600r21600,l21600,xe">
                <v:stroke joinstyle="miter"/>
                <v:path gradientshapeok="t" o:connecttype="rect"/>
              </v:shapetype>
              <v:shape id="Cuadro de texto 2" o:spid="_x0000_s1026" type="#_x0000_t202" style="position:absolute;left:0;text-align:left;margin-left:64.5pt;margin-top:0;width:295.5pt;height:1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LKwIAAEwEAAAOAAAAZHJzL2Uyb0RvYy54bWysVNuO0zAQfUfiHyy/06SlpW3UdLV0KUJa&#10;LtLCB0xtp7FwPMF2myxfv2OnWyLgCZEHy+MZH585M5PNTd8YdlbOa7Qln05yzpQVKLU9lvzb1/2r&#10;FWc+gJVg0KqSPyrPb7YvX2y6tlAzrNFI5RiBWF90bcnrENoiy7yoVQN+gq2y5KzQNRDIdMdMOugI&#10;vTHZLM/fZB062ToUyns6vRucfJvwq0qJ8LmqvArMlJy4hbS6tB7imm03UBwdtLUWFxrwDywa0JYe&#10;vULdQQB2cvoPqEYLhx6rMBHYZFhVWqiUA2UzzX/L5qGGVqVcSBzfXmXy/w9WfDp/cUxLqh1nFhoq&#10;0e4E0iGTigXVB2SzKFLX+oJiH1qKDv1b7OOFmLBv71F898zirgZ7VLfOYVcrkERyGm9mo6sDjo8g&#10;h+4jSnoNTgETUF+5JgKSJozQqViP1wIRDybo8PVyMVstyCXIN12u82WeSphB8Xy9dT68V9iwuCm5&#10;ow5I8HC+9yHSgeI5JNFHo+VeG5MMdzzsjGNnoG7Zpy9lQFmOw4xlXcnXi9liUGDs82OIPH1/g2h0&#10;oLY3uin56hoERdTtnZWpKQNoM+yJsrEXIaN2g4qhP/SXwhxQPpKkDof2pnGkTY3uJ2cdtXbJ/Y8T&#10;OMWZ+WCpLOvpfB5nIRnzxXJGhht7DmMPWEFQJQ+cDdtdSPMTBbN4S+WrdBI21nlgcuFKLZv0voxX&#10;nImxnaJ+/QS2TwAAAP//AwBQSwMEFAAGAAgAAAAhAFN1nRTeAAAACAEAAA8AAABkcnMvZG93bnJl&#10;di54bWxMj8FOwzAQRO9I/IO1SFwQdQioTUOcCiGB4FZKVa5uvE0i7HWw3TT8PcsJLiuNZjXzplpN&#10;zooRQ+w9KbiZZSCQGm96ahVs35+uCxAxaTLaekIF3xhhVZ+fVbo0/kRvOG5SKziEYqkVdCkNpZSx&#10;6dDpOPMDEnsHH5xOLEMrTdAnDndW5lk2l073xA2dHvCxw+Zzc3QKiruX8SO+3q53zfxgl+lqMT5/&#10;BaUuL6aHexAJp/T3DL/4jA41M+39kUwUlnW+5C1JAV+2F9wGYq8gL/IMZF3J/wPqHwAAAP//AwBQ&#10;SwECLQAUAAYACAAAACEAtoM4kv4AAADhAQAAEwAAAAAAAAAAAAAAAAAAAAAAW0NvbnRlbnRfVHlw&#10;ZXNdLnhtbFBLAQItABQABgAIAAAAIQA4/SH/1gAAAJQBAAALAAAAAAAAAAAAAAAAAC8BAABfcmVs&#10;cy8ucmVsc1BLAQItABQABgAIAAAAIQBCQj/LKwIAAEwEAAAOAAAAAAAAAAAAAAAAAC4CAABkcnMv&#10;ZTJvRG9jLnhtbFBLAQItABQABgAIAAAAIQBTdZ0U3gAAAAgBAAAPAAAAAAAAAAAAAAAAAIUEAABk&#10;cnMvZG93bnJldi54bWxQSwUGAAAAAAQABADzAAAAkAUAAAAA&#10;">
                <v:textbox>
                  <w:txbxContent>
                    <w:p w14:paraId="4D3E392A" w14:textId="5CAC01DF" w:rsidR="002215E6" w:rsidRDefault="002215E6" w:rsidP="00AD5B83">
                      <w:r>
                        <w:t>Figura 1 de elhorst</w:t>
                      </w:r>
                    </w:p>
                  </w:txbxContent>
                </v:textbox>
                <w10:wrap type="square"/>
              </v:shape>
            </w:pict>
          </mc:Fallback>
        </mc:AlternateContent>
      </w:r>
    </w:p>
    <w:p w14:paraId="56D63DCD" w14:textId="0B2C758F" w:rsidR="00AD5B83" w:rsidRDefault="00AD5B83" w:rsidP="00AD5B83"/>
    <w:p w14:paraId="43A6A0DA" w14:textId="67B85914" w:rsidR="00AD5B83" w:rsidRDefault="00AD5B83" w:rsidP="00AD5B83"/>
    <w:p w14:paraId="263E44A9" w14:textId="77777777" w:rsidR="00AD5B83" w:rsidRDefault="00AD5B83" w:rsidP="00AD5B83"/>
    <w:p w14:paraId="74AA15B7" w14:textId="79AF44C9"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944BE0">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53490302"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DA58E5">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Scholar","shortTitle":"Estimating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p>
    <w:p w14:paraId="0692D83D" w14:textId="77777777" w:rsidR="00944BE0" w:rsidRDefault="00944BE0" w:rsidP="002C12C7">
      <w:pPr>
        <w:pStyle w:val="Ttulo2"/>
      </w:pPr>
      <w:r>
        <w:lastRenderedPageBreak/>
        <w:t xml:space="preserve"> Selección de la matriz de pesos espaciales</w:t>
      </w:r>
    </w:p>
    <w:p w14:paraId="4A7E5422" w14:textId="77777777"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29DDAD97"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w:instrText>
      </w:r>
      <w:r w:rsidR="003D7632" w:rsidRPr="003D7632">
        <w:rPr>
          <w:highlight w:val="yellow"/>
        </w:rPr>
      </w:r>
      <w:r w:rsidR="003D7632" w:rsidRPr="003D7632">
        <w:rPr>
          <w:highlight w:val="yellow"/>
        </w:rPr>
        <w:instrText xml:space="preserve"> \* MERGEFORMAT </w:instrText>
      </w:r>
      <w:r w:rsidR="003D7632" w:rsidRPr="003D7632">
        <w:rPr>
          <w:highlight w:val="yellow"/>
        </w:rPr>
        <w:fldChar w:fldCharType="separate"/>
      </w:r>
      <w:r w:rsidR="003D7632" w:rsidRPr="003D7632">
        <w:t xml:space="preserve">Gráfico </w:t>
      </w:r>
      <w:r w:rsidR="003D7632" w:rsidRPr="003D7632">
        <w:rPr>
          <w:noProof/>
        </w:rPr>
        <w:t>1</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63B4C834" w:rsidR="00F7414C" w:rsidRPr="003D7632" w:rsidRDefault="00F7414C" w:rsidP="003D7632">
      <w:pPr>
        <w:pStyle w:val="Descripcin"/>
        <w:keepNext/>
        <w:jc w:val="left"/>
        <w:rPr>
          <w:i w:val="0"/>
          <w:sz w:val="22"/>
          <w:szCs w:val="22"/>
        </w:rPr>
      </w:pPr>
      <w:bookmarkStart w:id="8" w:name="_Ref5740577"/>
      <w:bookmarkStart w:id="9" w:name="_Ref5740583"/>
      <w:r w:rsidRPr="003D7632">
        <w:rPr>
          <w:i w:val="0"/>
          <w:sz w:val="22"/>
          <w:szCs w:val="22"/>
        </w:rPr>
        <w:t xml:space="preserve">Gráfico </w:t>
      </w:r>
      <w:r w:rsidRPr="003D7632">
        <w:rPr>
          <w:i w:val="0"/>
          <w:sz w:val="22"/>
          <w:szCs w:val="22"/>
        </w:rPr>
        <w:fldChar w:fldCharType="begin"/>
      </w:r>
      <w:r w:rsidRPr="003D7632">
        <w:rPr>
          <w:i w:val="0"/>
          <w:sz w:val="22"/>
          <w:szCs w:val="22"/>
        </w:rPr>
        <w:instrText xml:space="preserve"> SEQ Gráfico \* ARABIC </w:instrText>
      </w:r>
      <w:r w:rsidRPr="003D7632">
        <w:rPr>
          <w:i w:val="0"/>
          <w:sz w:val="22"/>
          <w:szCs w:val="22"/>
        </w:rPr>
        <w:fldChar w:fldCharType="separate"/>
      </w:r>
      <w:r w:rsidRPr="003D7632">
        <w:rPr>
          <w:i w:val="0"/>
          <w:noProof/>
          <w:sz w:val="22"/>
          <w:szCs w:val="22"/>
        </w:rPr>
        <w:t>1</w:t>
      </w:r>
      <w:r w:rsidRPr="003D7632">
        <w:rPr>
          <w:i w:val="0"/>
          <w:sz w:val="22"/>
          <w:szCs w:val="22"/>
        </w:rPr>
        <w:fldChar w:fldCharType="end"/>
      </w:r>
      <w:bookmarkEnd w:id="9"/>
      <w:r w:rsidRPr="003D7632">
        <w:rPr>
          <w:i w:val="0"/>
          <w:sz w:val="22"/>
          <w:szCs w:val="22"/>
        </w:rPr>
        <w:t xml:space="preserve">. </w:t>
      </w:r>
      <w:bookmarkStart w:id="10" w:name="_Ref5740572"/>
      <w:r w:rsidR="003D7632" w:rsidRPr="003D7632">
        <w:rPr>
          <w:i w:val="0"/>
          <w:sz w:val="22"/>
          <w:szCs w:val="22"/>
        </w:rPr>
        <w:t>Construcción de polígonos de Thiessen alrededor de 20 observaciones</w:t>
      </w:r>
      <w:bookmarkEnd w:id="8"/>
      <w:bookmarkEnd w:id="10"/>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26A608D" w:rsidR="003D7632" w:rsidRPr="003D7632"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bookmarkStart w:id="11" w:name="_GoBack"/>
      <w:bookmarkEnd w:id="11"/>
      <w:r>
        <w:lastRenderedPageBreak/>
        <w:t>Mercado de combustibles líquidos en Lima Metropolitana</w:t>
      </w:r>
    </w:p>
    <w:p w14:paraId="7388D270" w14:textId="28114B66" w:rsidR="00AE7D0B" w:rsidRDefault="00AE7D0B" w:rsidP="00AE7D0B">
      <w:commentRangeStart w:id="12"/>
      <w:r>
        <w:t xml:space="preserve">El mercado </w:t>
      </w:r>
      <w:commentRangeEnd w:id="12"/>
      <w:r w:rsidR="00103A41">
        <w:rPr>
          <w:rStyle w:val="Refdecomentario"/>
        </w:rPr>
        <w:commentReference w:id="12"/>
      </w:r>
      <w:r>
        <w:t xml:space="preserve">de combustible peruano tiene particularidades que lo diferencian de los países desarrollados en donde se han llevado los estudios revisados en el Capítulo II. En el caso de Perú, solo se cuenta con dos productores de combustibles y dos refinerías principales que abastecen el XX% de los requerimientos del diésel y YY% de la demanda de gasolina en el país. </w:t>
      </w:r>
      <w:r w:rsidR="000B0CED">
        <w:t xml:space="preserve">La capacidad total de refinación en el país alcanza XX barriles por día con una importación de YY barriles por día siendo el principal suministrador el </w:t>
      </w:r>
      <w:r w:rsidR="000B0CED" w:rsidRPr="00180658">
        <w:rPr>
          <w:highlight w:val="yellow"/>
        </w:rPr>
        <w:t>país tal</w:t>
      </w:r>
      <w:r w:rsidR="00180658" w:rsidRPr="00180658">
        <w:rPr>
          <w:highlight w:val="yellow"/>
        </w:rPr>
        <w:t xml:space="preserve"> </w:t>
      </w:r>
      <w:r w:rsidR="000B0CED" w:rsidRPr="00180658">
        <w:rPr>
          <w:highlight w:val="yellow"/>
        </w:rPr>
        <w:t>cual</w:t>
      </w:r>
      <w:r w:rsidR="000B0CED">
        <w:t xml:space="preserve">. </w:t>
      </w:r>
      <w:r>
        <w:t xml:space="preserve">El resto de combustible es importado en su mayoría por los mismos productores, con un Z% de un tercer importador. </w:t>
      </w:r>
      <w:r w:rsidR="000B0CED">
        <w:t>Los dos productores de combustibles son Refinería La Pampilla, perteneciente al grupo español Repsol y la petrolera estatal Petróleos del Perú (PETROPERU).</w:t>
      </w:r>
    </w:p>
    <w:p w14:paraId="2EB206EF" w14:textId="77777777" w:rsidR="00130F8F" w:rsidRDefault="00180658" w:rsidP="00130F8F">
      <w:r>
        <w:t xml:space="preserve">Las dos refinerías actúan como mayoristas en adición a vender combustible a PECSA y Primax, además de vender combustible a los otros dos mayoristas en el mercado que no cuentan con producción propia. En el caso de Refinería La Pampilla, actúa a través de su brazo comercial RECOSAC y opera directamente el tanto % de las estaciones de Lima Metropolitana, en tanto </w:t>
      </w:r>
      <w:commentRangeStart w:id="13"/>
      <w:r>
        <w:t xml:space="preserve">que Petroperú vende directamente combustible </w:t>
      </w:r>
      <w:commentRangeEnd w:id="13"/>
      <w:r>
        <w:rPr>
          <w:rStyle w:val="Refdecomentario"/>
        </w:rPr>
        <w:commentReference w:id="13"/>
      </w:r>
      <w:r>
        <w:t>sin operar ninguna estaci</w:t>
      </w:r>
      <w:r w:rsidR="004F75F4">
        <w:t xml:space="preserve">ón propia.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común en los países desarrollados.</w:t>
      </w:r>
    </w:p>
    <w:p w14:paraId="4462978F" w14:textId="4E8E1EB4"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4F75F4" w:rsidRPr="004F75F4">
        <w:rPr>
          <w:highlight w:val="yellow"/>
        </w:rPr>
        <w:t>(ver tabla tal)</w:t>
      </w:r>
      <w:r w:rsidR="00105ABA">
        <w:t>,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4F75F4" w:rsidRPr="004F75F4">
        <w:rPr>
          <w:highlight w:val="yellow"/>
        </w:rPr>
        <w:t>en la tabla tal</w:t>
      </w:r>
      <w:r w:rsidR="00105ABA">
        <w:t>. Este orden se repite si consideramos el número de estaciones abanderadas por cada firma.</w:t>
      </w:r>
    </w:p>
    <w:p w14:paraId="3D3CC1D9" w14:textId="1C734A47" w:rsidR="00091768" w:rsidRDefault="00091768" w:rsidP="00AE7D0B">
      <w:r>
        <w:t>En total se cuentan con XX estaciones de servicios en el Perú, de las cuales YY están localizadas en Lima Metropolitana</w:t>
      </w:r>
    </w:p>
    <w:p w14:paraId="2116A64C" w14:textId="6C4106EF" w:rsidR="00091768" w:rsidRDefault="00091768" w:rsidP="00AE7D0B">
      <w:r>
        <w:lastRenderedPageBreak/>
        <w:t>Con respecto a los precios, podemos observar diferencias entre los precios promedio por distritos y dispersión con respecto al precio del combustible para cada distrito.</w:t>
      </w:r>
    </w:p>
    <w:p w14:paraId="6163D451" w14:textId="7E272EC9" w:rsidR="000B0CED" w:rsidRPr="00AE7D0B" w:rsidRDefault="000B0CED" w:rsidP="00AE7D0B"/>
    <w:p w14:paraId="468851AB" w14:textId="77777777" w:rsidR="00067D45" w:rsidRDefault="00067D45" w:rsidP="00F57A1B">
      <w:r>
        <w:br w:type="page"/>
      </w:r>
    </w:p>
    <w:p w14:paraId="1E6EE31A" w14:textId="0CAA8FB9" w:rsidR="001D7AC0" w:rsidRDefault="001D7AC0" w:rsidP="000D15A3">
      <w:pPr>
        <w:pStyle w:val="Ttulo1"/>
      </w:pPr>
      <w:r w:rsidRPr="000D15A3">
        <w:lastRenderedPageBreak/>
        <w:t>Metodología</w:t>
      </w:r>
    </w:p>
    <w:p w14:paraId="69ECB78C" w14:textId="132EA587" w:rsidR="00B55601" w:rsidRDefault="00B55601" w:rsidP="000D15A3">
      <w:pPr>
        <w:pStyle w:val="Ttulo2"/>
      </w:pPr>
      <w:r>
        <w:t>Datos utilizados</w:t>
      </w:r>
    </w:p>
    <w:p w14:paraId="7F90E702" w14:textId="6E961E0C" w:rsidR="006C6160" w:rsidRDefault="00445710" w:rsidP="006C6160">
      <w:r>
        <w:rPr>
          <w:noProof/>
        </w:rPr>
        <mc:AlternateContent>
          <mc:Choice Requires="wps">
            <w:drawing>
              <wp:anchor distT="45720" distB="45720" distL="114300" distR="114300" simplePos="0" relativeHeight="251665408" behindDoc="0" locked="0" layoutInCell="1" allowOverlap="1" wp14:anchorId="7E030C3C" wp14:editId="422B03E9">
                <wp:simplePos x="0" y="0"/>
                <wp:positionH relativeFrom="column">
                  <wp:posOffset>939800</wp:posOffset>
                </wp:positionH>
                <wp:positionV relativeFrom="paragraph">
                  <wp:posOffset>1462405</wp:posOffset>
                </wp:positionV>
                <wp:extent cx="3114675" cy="1838325"/>
                <wp:effectExtent l="0" t="0" r="28575" b="28575"/>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838325"/>
                        </a:xfrm>
                        <a:prstGeom prst="rect">
                          <a:avLst/>
                        </a:prstGeom>
                        <a:solidFill>
                          <a:srgbClr val="FFFFFF"/>
                        </a:solidFill>
                        <a:ln w="9525">
                          <a:solidFill>
                            <a:srgbClr val="000000"/>
                          </a:solidFill>
                          <a:miter lim="800000"/>
                          <a:headEnd/>
                          <a:tailEnd/>
                        </a:ln>
                      </wps:spPr>
                      <wps:txbx>
                        <w:txbxContent>
                          <w:p w14:paraId="639BE264" w14:textId="6536C39B" w:rsidR="002215E6" w:rsidRDefault="002215E6">
                            <w:r>
                              <w:t>Gráfica de estaciones en lima metropolitana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30C3C" id="_x0000_s1027" type="#_x0000_t202" style="position:absolute;left:0;text-align:left;margin-left:74pt;margin-top:115.15pt;width:245.25pt;height:14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Wb+KgIAAFMEAAAOAAAAZHJzL2Uyb0RvYy54bWysVNtu2zAMfR+wfxD0vjjOpU2NOEWXLsOA&#10;7gJ0+wBakmNhsuhJSuzs60cpaZpdsIdhfhBIkTokD0kvb4fWsL1yXqMteT4ac6asQKnttuRfPm9e&#10;LTjzAawEg1aV/KA8v129fLHsu0JNsEEjlWMEYn3RdyVvQuiKLPOiUS34EXbKkrFG10Ig1W0z6aAn&#10;9NZkk/H4KuvRyc6hUN7T7f3RyFcJv66VCB/r2qvATMkpt5BOl84qntlqCcXWQddocUoD/iGLFrSl&#10;oGeoewjAdk7/BtVq4dBjHUYC2wzrWguVaqBq8vEv1Tw20KlUC5HjuzNN/v/Big/7T45pWfIJZxZa&#10;atF6B9Ihk4oFNQRkk0hS3/mCfB878g7Daxyo2alg3z2g+OqZxXUDdqvunMO+USApyTy+zC6eHnF8&#10;BKn69ygpGuwCJqChdm1kkDhhhE7NOpwbRHkwQZfTPJ9dXc85E2TLF9PFdDJPMaB4et45H94qbFkU&#10;Su5oAhI87B98iOlA8eQSo3k0Wm60MUlx22ptHNsDTcsmfSf0n9yMZX3Jb+YU++8Q4/T9CaLVgcbe&#10;6Lbki7MTFJG3N1amoQygzVGmlI09ERm5O7IYhmpIjUssR5IrlAdi1uFxymkrSWjQfeespwkvuf+2&#10;A6c4M+8sdecmn83iSiRlNr+ekOIuLdWlBawgqJIHzo7iOqQ1igxYvKMu1jrx+5zJKWWa3ET7acvi&#10;alzqyev5X7D6AQAA//8DAFBLAwQUAAYACAAAACEAEbRlreEAAAALAQAADwAAAGRycy9kb3ducmV2&#10;LnhtbEyPzU7DMBCE70i8g7VIXBB12rTBDXEqhASiNygIrm68TSL8E2w3DW/PcoLjaEYz31SbyRo2&#10;Yoi9dxLmswwYusbr3rUS3l4frgWwmJTTyniHEr4xwqY+P6tUqf3JveC4Sy2jEhdLJaFLaSg5j02H&#10;VsWZH9CRd/DBqkQytFwHdaJya/giywpuVe9ooVMD3nfYfO6OVoJYPo0fcZs/vzfFwazT1c34+BWk&#10;vLyY7m6BJZzSXxh+8QkdamLa+6PTkRnSS0FfkoRFnuXAKFHkYgVsL2E1XwvgdcX/f6h/AAAA//8D&#10;AFBLAQItABQABgAIAAAAIQC2gziS/gAAAOEBAAATAAAAAAAAAAAAAAAAAAAAAABbQ29udGVudF9U&#10;eXBlc10ueG1sUEsBAi0AFAAGAAgAAAAhADj9If/WAAAAlAEAAAsAAAAAAAAAAAAAAAAALwEAAF9y&#10;ZWxzLy5yZWxzUEsBAi0AFAAGAAgAAAAhALkZZv4qAgAAUwQAAA4AAAAAAAAAAAAAAAAALgIAAGRy&#10;cy9lMm9Eb2MueG1sUEsBAi0AFAAGAAgAAAAhABG0Za3hAAAACwEAAA8AAAAAAAAAAAAAAAAAhAQA&#10;AGRycy9kb3ducmV2LnhtbFBLBQYAAAAABAAEAPMAAACSBQAAAAA=&#10;">
                <v:textbox>
                  <w:txbxContent>
                    <w:p w14:paraId="639BE264" w14:textId="6536C39B" w:rsidR="002215E6" w:rsidRDefault="002215E6">
                      <w:r>
                        <w:t>Gráfica de estaciones en lima metropolitana</w:t>
                      </w:r>
                    </w:p>
                  </w:txbxContent>
                </v:textbox>
                <w10:wrap type="topAndBottom"/>
              </v:shape>
            </w:pict>
          </mc:Fallback>
        </mc:AlternateContent>
      </w:r>
      <w:r w:rsidR="006C6160">
        <w:t>La fuente primaria de datos para este trabajo consiste la base de datos del portal Facilito de Organismo Regulador para la A (OSINERGMIN). La base de datos contiene todos los precios reportados por las estaciones de servicio de Lima Metropolitana para los años 2017 y 2018</w:t>
      </w:r>
      <w:r>
        <w:t>, además la dirección física y distrito de ubicación</w:t>
      </w:r>
      <w:r w:rsidR="006C6160">
        <w:t>. En adición, se recolectó información sobre las coordenadas geográficas</w:t>
      </w:r>
      <w:r>
        <w:t xml:space="preserve">, marca visible y </w:t>
      </w:r>
      <w:r w:rsidR="006C6160">
        <w:t xml:space="preserve">características </w:t>
      </w:r>
      <w:r>
        <w:t xml:space="preserve">adicionales </w:t>
      </w:r>
      <w:r w:rsidR="006C6160">
        <w:t xml:space="preserve">para XX estaciones. </w:t>
      </w:r>
      <w:r w:rsidR="00197033">
        <w:t xml:space="preserve">Tantas observaciones tenían información incompleta o direcciones erróneas por lo que la muestra.  </w:t>
      </w:r>
    </w:p>
    <w:p w14:paraId="6988606B" w14:textId="07087C03" w:rsidR="00445710" w:rsidRDefault="00445710" w:rsidP="00445710">
      <w:r>
        <w:t xml:space="preserve">A cada estación se le añadió información sobre potenciales determinantes de la demanda del distrito en el cual se ubican. Las variables utilizadas para el control de demanda localizada son el ingreso familiar per cápita del distrito, densidad de población. </w:t>
      </w:r>
    </w:p>
    <w:p w14:paraId="6B8A31E4" w14:textId="63EA9323" w:rsidR="00445710" w:rsidRDefault="00445710" w:rsidP="00213DE0">
      <w:pPr>
        <w:pStyle w:val="Ttulo2"/>
      </w:pPr>
      <w:r>
        <w:t>Definición de mercados</w:t>
      </w:r>
    </w:p>
    <w:p w14:paraId="391B8A7F" w14:textId="15DCEFB2" w:rsidR="00213DE0" w:rsidRDefault="00213DE0" w:rsidP="00213DE0">
      <w:r>
        <w:t xml:space="preserve">Para la definición de mercados, se puede realizar a nivel de jurisdiccional de distritos o municipalidades </w:t>
      </w:r>
      <w:r>
        <w:fldChar w:fldCharType="begin"/>
      </w:r>
      <w:r>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1435-8921","shortTitle":"Locational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instrText xml:space="preserve"> ADDIN ZOTERO_ITEM CSL_CITATION {"citationID":"8hH34IGh","properties":{"formattedCitation":"(Pennerstorfer, 2009)","plainCitation":"(Pennerstorfer, 2009)","noteIndex":0},"citationI</w:instrText>
      </w:r>
      <w:r w:rsidRPr="00213DE0">
        <w:instrText>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w:instrText>
      </w:r>
      <w:r>
        <w:instrText>ﬂ</w:instrText>
      </w:r>
      <w:r w:rsidRPr="00213DE0">
        <w:instrText>uence of unbranded stations on the prices charged by branded stations in the retail gasoline sector, using data on 400 stations in Lower Austria. As the market is characterized by spatial competition, a spatial lag model is used to avoid misspeci</w:instrText>
      </w:r>
      <w:r>
        <w:instrText>ﬁ</w:instrText>
      </w:r>
      <w:r w:rsidRPr="00213DE0">
        <w:instrText>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w:instrText>
      </w:r>
      <w:r>
        <w:instrText>ﬂ</w:instrText>
      </w:r>
      <w:r w:rsidRPr="00213DE0">
        <w:instrText xml:space="preserve">uence on the prices charged by branded stations.","URL":"http://link.springer.com/10.1007/s00168-007-0206-7","DOI":"10.1007/s00168-007-0206-7","ISSN":"0570-1864, 1432-0592","shortTitle":"Spatial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definir las zonas de influencia </w:t>
      </w:r>
      <w:r w:rsidR="00197033">
        <w:t xml:space="preserve">de cada estación y sus respectivas estaciones colindantes, tal como se muestra en la </w:t>
      </w:r>
      <w:r w:rsidR="00197033" w:rsidRPr="00197033">
        <w:rPr>
          <w:highlight w:val="yellow"/>
        </w:rPr>
        <w:t>figura xx</w:t>
      </w:r>
      <w:r w:rsidR="00197033">
        <w:t xml:space="preserve">. De esta manera la estación mostrada compite directamente con las x estaciones que la rodean y son las que reciben el valor igual a uno en la respectiva matriz de ponderación </w:t>
      </w:r>
      <m:oMath>
        <m:r>
          <w:rPr>
            <w:rFonts w:ascii="Cambria Math" w:hAnsi="Cambria Math"/>
          </w:rPr>
          <m:t>W</m:t>
        </m:r>
      </m:oMath>
      <w:r w:rsidR="00197033">
        <w:t xml:space="preserve">. Esta construcción tiene la ventaja de utilizar la ubicación real de cada estación en relación al resto para definir los límites de cada mercado, mientras que al alternativas anteriores solo consideran el </w:t>
      </w:r>
      <w:r w:rsidR="00197033">
        <w:lastRenderedPageBreak/>
        <w:t xml:space="preserve">número de competidores en un área predefinida por un círculo predefinido arbitrariamente para </w:t>
      </w:r>
      <w:r w:rsidR="00197033">
        <w:rPr>
          <w:noProof/>
        </w:rPr>
        <mc:AlternateContent>
          <mc:Choice Requires="wps">
            <w:drawing>
              <wp:anchor distT="45720" distB="45720" distL="114300" distR="114300" simplePos="0" relativeHeight="251667456" behindDoc="0" locked="0" layoutInCell="1" allowOverlap="1" wp14:anchorId="69BEF8FB" wp14:editId="44C4DB48">
                <wp:simplePos x="0" y="0"/>
                <wp:positionH relativeFrom="column">
                  <wp:posOffset>409575</wp:posOffset>
                </wp:positionH>
                <wp:positionV relativeFrom="paragraph">
                  <wp:posOffset>784225</wp:posOffset>
                </wp:positionV>
                <wp:extent cx="3114675" cy="1838325"/>
                <wp:effectExtent l="0" t="0" r="28575" b="28575"/>
                <wp:wrapTopAndBottom/>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838325"/>
                        </a:xfrm>
                        <a:prstGeom prst="rect">
                          <a:avLst/>
                        </a:prstGeom>
                        <a:solidFill>
                          <a:srgbClr val="FFFFFF"/>
                        </a:solidFill>
                        <a:ln w="9525">
                          <a:solidFill>
                            <a:srgbClr val="000000"/>
                          </a:solidFill>
                          <a:miter lim="800000"/>
                          <a:headEnd/>
                          <a:tailEnd/>
                        </a:ln>
                      </wps:spPr>
                      <wps:txbx>
                        <w:txbxContent>
                          <w:p w14:paraId="17F2EF8D" w14:textId="330A3A79" w:rsidR="002215E6" w:rsidRDefault="002215E6" w:rsidP="00197033">
                            <w:r>
                              <w:t>Estación con gráfico Thiessen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EF8FB" id="Cuadro de texto 3" o:spid="_x0000_s1028" type="#_x0000_t202" style="position:absolute;left:0;text-align:left;margin-left:32.25pt;margin-top:61.75pt;width:245.25pt;height:14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pKwIAAFMEAAAOAAAAZHJzL2Uyb0RvYy54bWysVNtu2zAMfR+wfxD0vjjOpU2NOEWXLsOA&#10;7gJ0+wBakmNhsuhJSuzs60cpaZpdsIdhfhBIkTokD0kvb4fWsL1yXqMteT4ac6asQKnttuRfPm9e&#10;LTjzAawEg1aV/KA8v129fLHsu0JNsEEjlWMEYn3RdyVvQuiKLPOiUS34EXbKkrFG10Ig1W0z6aAn&#10;9NZkk/H4KuvRyc6hUN7T7f3RyFcJv66VCB/r2qvATMkpt5BOl84qntlqCcXWQddocUoD/iGLFrSl&#10;oGeoewjAdk7/BtVq4dBjHUYC2wzrWguVaqBq8vEv1Tw20KlUC5HjuzNN/v/Big/7T45pWfIpZxZa&#10;atF6B9Ihk4oFNQRk00hS3/mCfB878g7Daxyo2alg3z2g+OqZxXUDdqvunMO+USApyTy+zC6eHnF8&#10;BKn69ygpGuwCJqChdm1kkDhhhE7NOpwbRHkwQZfTPJ9dXc85E2TLF9PFdDJPMaB4et45H94qbFkU&#10;Su5oAhI87B98iOlA8eQSo3k0Wm60MUlx22ptHNsDTcsmfSf0n9yMZX3Jb+YU++8Q4/T9CaLVgcbe&#10;6Lbki7MTFJG3N1amoQygzVGmlI09ERm5O7IYhmpIjZvEAJHkCuWBmHV4nHLaShIadN8562nCS+6/&#10;7cApzsw7S925yWezuBJJmc2vJ6S4S0t1aQErCKrkgbOjuA5pjSIDFu+oi7VO/D5nckqZJjfRftqy&#10;uBqXevJ6/hesfgAAAP//AwBQSwMEFAAGAAgAAAAhALSVjlzgAAAACgEAAA8AAABkcnMvZG93bnJl&#10;di54bWxMj81OwzAQhO9IvIO1SFwQddr8UEKcCiGB4AYFwdVNtkmEvQ62m4a3ZznBbXdnNPtNtZmt&#10;ERP6MDhSsFwkIJAa1w7UKXh7vb9cgwhRU6uNI1TwjQE29elJpcvWHekFp23sBIdQKLWCPsaxlDI0&#10;PVodFm5EYm3vvNWRV9/J1usjh1sjV0lSSKsH4g+9HvGux+Zze7AK1tnj9BGe0uf3ptib63hxNT18&#10;eaXOz+bbGxAR5/hnhl98RoeamXbuQG0QRkGR5ezk+yrlgQ15nnO5nYJsmSYg60r+r1D/AAAA//8D&#10;AFBLAQItABQABgAIAAAAIQC2gziS/gAAAOEBAAATAAAAAAAAAAAAAAAAAAAAAABbQ29udGVudF9U&#10;eXBlc10ueG1sUEsBAi0AFAAGAAgAAAAhADj9If/WAAAAlAEAAAsAAAAAAAAAAAAAAAAALwEAAF9y&#10;ZWxzLy5yZWxzUEsBAi0AFAAGAAgAAAAhAD4N2mkrAgAAUwQAAA4AAAAAAAAAAAAAAAAALgIAAGRy&#10;cy9lMm9Eb2MueG1sUEsBAi0AFAAGAAgAAAAhALSVjlzgAAAACgEAAA8AAAAAAAAAAAAAAAAAhQQA&#10;AGRycy9kb3ducmV2LnhtbFBLBQYAAAAABAAEAPMAAACSBQAAAAA=&#10;">
                <v:textbox>
                  <w:txbxContent>
                    <w:p w14:paraId="17F2EF8D" w14:textId="330A3A79" w:rsidR="002215E6" w:rsidRDefault="002215E6" w:rsidP="00197033">
                      <w:r>
                        <w:t>Estación con gráfico Thiessen</w:t>
                      </w:r>
                    </w:p>
                  </w:txbxContent>
                </v:textbox>
                <w10:wrap type="topAndBottom"/>
              </v:shape>
            </w:pict>
          </mc:Fallback>
        </mc:AlternateContent>
      </w:r>
      <w:r w:rsidR="00197033">
        <w:t>toda la muestra.</w:t>
      </w:r>
    </w:p>
    <w:p w14:paraId="5BCF3928" w14:textId="51186BF1" w:rsidR="00197033" w:rsidRDefault="00197033" w:rsidP="00197033">
      <w:pPr>
        <w:pStyle w:val="Ttulo2"/>
      </w:pPr>
      <w:r>
        <w:t>Definición de variables</w:t>
      </w:r>
    </w:p>
    <w:p w14:paraId="25CAA792" w14:textId="77777777"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r w:rsidR="005526A5">
        <w:rPr>
          <w:rStyle w:val="Refdenotaalpie"/>
        </w:rPr>
        <w:footnoteReference w:id="2"/>
      </w:r>
      <w:r w:rsidR="005526A5">
        <w:t>.</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30F9A256"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apartado teórico.</w:t>
      </w:r>
    </w:p>
    <w:p w14:paraId="2221E8B4" w14:textId="740C369E" w:rsidR="007A3BA0" w:rsidRDefault="007A3BA0" w:rsidP="006507EA">
      <w:pPr>
        <w:pStyle w:val="Prrafodelista"/>
        <w:numPr>
          <w:ilvl w:val="0"/>
          <w:numId w:val="25"/>
        </w:numPr>
      </w:pPr>
      <w:r>
        <w:t xml:space="preserve">Distancia al rival más cercano: Distancia en kilómetros a la estación de combustible más cercana. </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26510771" w:rsidR="007A3BA0" w:rsidRDefault="007A3BA0" w:rsidP="006507EA">
      <w:pPr>
        <w:pStyle w:val="Prrafodelista"/>
        <w:numPr>
          <w:ilvl w:val="0"/>
          <w:numId w:val="25"/>
        </w:numPr>
      </w:pPr>
      <w:r>
        <w:lastRenderedPageBreak/>
        <w:t>Tienda: Es 1 si la estación cuenta con una tienda asociada y 0 si no cuenta con una.</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41C237D6" w14:textId="053EADEC" w:rsidR="00497B45" w:rsidRDefault="00497B45" w:rsidP="006507EA">
      <w:pPr>
        <w:pStyle w:val="Prrafodelista"/>
        <w:numPr>
          <w:ilvl w:val="0"/>
          <w:numId w:val="25"/>
        </w:numPr>
      </w:pPr>
      <w:r>
        <w:t>Densidad poblacional: Es el número de personas que vive en un distrito dividido entre el área del distrito en km</w:t>
      </w:r>
      <w:r>
        <w:rPr>
          <w:vertAlign w:val="superscript"/>
        </w:rPr>
        <w:t>2</w:t>
      </w:r>
      <w:r>
        <w:t>.</w:t>
      </w:r>
    </w:p>
    <w:p w14:paraId="174FB0AF" w14:textId="375AEFE7" w:rsidR="006507EA" w:rsidRPr="006507EA" w:rsidRDefault="006507EA" w:rsidP="006507EA">
      <w:pPr>
        <w:rPr>
          <w:lang w:val="en-US"/>
        </w:rPr>
      </w:pPr>
      <w:r w:rsidRPr="006507EA">
        <w:rPr>
          <w:highlight w:val="yellow"/>
          <w:lang w:val="en-US"/>
        </w:rPr>
        <w:t>Estadística descriptiva y correlación</w:t>
      </w:r>
    </w:p>
    <w:p w14:paraId="7BBF7FDE" w14:textId="03CD4EA0" w:rsidR="006507EA" w:rsidRDefault="006507EA" w:rsidP="006507EA">
      <w:pPr>
        <w:pStyle w:val="Ttulo2"/>
      </w:pPr>
      <w:r>
        <w:t xml:space="preserve">Regresión a </w:t>
      </w:r>
      <w:commentRangeStart w:id="14"/>
      <w:r>
        <w:t>estimar</w:t>
      </w:r>
      <w:commentRangeEnd w:id="14"/>
      <w:r w:rsidR="00CB4A95">
        <w:rPr>
          <w:rStyle w:val="Refdecomentario"/>
          <w:b w:val="0"/>
        </w:rPr>
        <w:commentReference w:id="14"/>
      </w:r>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72C4BB7B"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3A5534">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3A5534">
        <w:t>3.2</w:t>
      </w:r>
      <w:r w:rsidR="003A5534">
        <w:fldChar w:fldCharType="end"/>
      </w:r>
      <w:r w:rsidR="003A5534">
        <w:t xml:space="preserve">. Para ello, Elhorst </w:t>
      </w:r>
      <w:r w:rsidR="003A5534">
        <w:fldChar w:fldCharType="begin"/>
      </w:r>
      <w:r w:rsidR="003A5534">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Esta prueba utiliza los residuos de la regresión estimada y sigue una distribución chi-cuadrado con un grado de libertad.</w:t>
      </w:r>
      <w:r w:rsidR="00ED072A">
        <w:t xml:space="preserve"> La ecuación a estimar por OLS es la siguiente:</w:t>
      </w:r>
    </w:p>
    <w:p w14:paraId="7A77764F" w14:textId="2EE5123B" w:rsidR="003A5534" w:rsidRDefault="002215E6"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5412502D" w:rsidR="002215E6" w:rsidRPr="00CF2550" w:rsidRDefault="002215E6" w:rsidP="00CB4A95">
      <w:pPr>
        <w:rPr>
          <w:lang w:val="es-PE"/>
        </w:rPr>
      </w:pPr>
      <w:r w:rsidRPr="00CF2550">
        <w:rPr>
          <w:lang w:val="es-PE"/>
        </w:rPr>
        <w:lastRenderedPageBreak/>
        <w:t xml:space="preserve">Elhorst </w:t>
      </w:r>
      <w:r w:rsidRPr="00CF2550">
        <w:rPr>
          <w:lang w:val="es-PE"/>
        </w:rPr>
        <w:fldChar w:fldCharType="begin"/>
      </w:r>
      <w:r w:rsidR="00AF6545" w:rsidRPr="00CF2550">
        <w:rPr>
          <w:lang w:val="es-P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Pr="00CF2550">
        <w:rPr>
          <w:lang w:val="es-PE"/>
        </w:rPr>
        <w:fldChar w:fldCharType="separate"/>
      </w:r>
      <w:r w:rsidRPr="00CF2550">
        <w:rPr>
          <w:rFonts w:ascii="Times New Roman" w:hAnsi="Times New Roman"/>
          <w:lang w:val="es-PE"/>
        </w:rPr>
        <w:t>(2010)</w:t>
      </w:r>
      <w:r w:rsidRPr="00CF2550">
        <w:rPr>
          <w:lang w:val="es-PE"/>
        </w:rPr>
        <w:fldChar w:fldCharType="end"/>
      </w:r>
      <w:r w:rsidRPr="00CF2550">
        <w:rPr>
          <w:lang w:val="es-PE"/>
        </w:rPr>
        <w:t xml:space="preserve"> indica que si las pruebas de LM de Anselin (1996) son rechazadas</w:t>
      </w:r>
      <w:r w:rsidR="009773EE" w:rsidRPr="00CF2550">
        <w:rPr>
          <w:lang w:val="es-PE"/>
        </w:rPr>
        <w:t xml:space="preserve"> para el modelo de rezagos espaciales, para el modelo de error</w:t>
      </w:r>
      <w:r w:rsidR="00CF2550">
        <w:rPr>
          <w:lang w:val="es-PE"/>
        </w:rPr>
        <w:t>e</w:t>
      </w:r>
      <w:r w:rsidR="009773EE" w:rsidRPr="00CF2550">
        <w:rPr>
          <w:lang w:val="es-PE"/>
        </w:rPr>
        <w:t>s espaciales o para ambos, entonces se</w:t>
      </w:r>
      <w:r w:rsidRPr="00CF2550">
        <w:rPr>
          <w:lang w:val="es-PE"/>
        </w:rPr>
        <w:t xml:space="preserve"> estima el modelo espacial de Durbin</w:t>
      </w:r>
      <w:r w:rsidR="009773EE" w:rsidRPr="00CF2550">
        <w:rPr>
          <w:lang w:val="es-PE"/>
        </w:rPr>
        <w:t xml:space="preserve"> con la información del corte transversal </w:t>
      </w:r>
      <m:oMath>
        <m:r>
          <m:rPr>
            <m:sty m:val="bi"/>
          </m:rPr>
          <w:rPr>
            <w:rFonts w:ascii="Cambria Math" w:hAnsi="Cambria Math"/>
            <w:lang w:val="es-PE"/>
          </w:rPr>
          <m:t>t</m:t>
        </m:r>
      </m:oMath>
      <w:r w:rsidRPr="00CF2550">
        <w:rPr>
          <w:lang w:val="es-PE"/>
        </w:rPr>
        <w:t>:</w:t>
      </w:r>
    </w:p>
    <w:p w14:paraId="536858EC" w14:textId="7A2FBC9E" w:rsidR="002215E6" w:rsidRPr="009773EE" w:rsidRDefault="002215E6" w:rsidP="00CB4A95">
      <w:pPr>
        <w:rPr>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t</m:t>
              </m:r>
            </m:sub>
          </m:sSub>
          <m:sSub>
            <m:sSubPr>
              <m:ctrlPr>
                <w:rPr>
                  <w:rFonts w:ascii="Cambria Math" w:hAnsi="Cambria Math"/>
                  <w:b/>
                  <w:i/>
                  <w:lang w:val="en-US"/>
                </w:rPr>
              </m:ctrlPr>
            </m:sSubPr>
            <m:e>
              <m:r>
                <m:rPr>
                  <m:sty m:val="bi"/>
                </m:rPr>
                <w:rPr>
                  <w:rFonts w:ascii="Cambria Math" w:hAnsi="Cambria Math"/>
                  <w:lang w:val="en-US"/>
                </w:rPr>
                <m:t>1</m:t>
              </m:r>
            </m:e>
            <m:sub>
              <m:r>
                <m:rPr>
                  <m:sty m:val="bi"/>
                </m:rPr>
                <w:rPr>
                  <w:rFonts w:ascii="Cambria Math" w:hAnsi="Cambria Math"/>
                  <w:lang w:val="en-US"/>
                </w:rPr>
                <m:t>N</m:t>
              </m:r>
            </m:sub>
          </m:sSub>
          <m:r>
            <w:rPr>
              <w:rFonts w:ascii="Cambria Math" w:hAnsi="Cambria Math"/>
              <w:lang w:val="en-US"/>
            </w:rPr>
            <m:t>+ρW</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t</m:t>
              </m:r>
            </m:sub>
          </m:sSub>
          <m: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t</m:t>
              </m:r>
            </m:sub>
          </m:sSub>
          <m:r>
            <m:rPr>
              <m:sty m:val="bi"/>
            </m:rPr>
            <w:rPr>
              <w:rFonts w:ascii="Cambria Math" w:hAnsi="Cambria Math"/>
              <w:lang w:val="en-US"/>
            </w:rPr>
            <m:t>+</m:t>
          </m:r>
          <m:r>
            <w:rPr>
              <w:rFonts w:ascii="Cambria Math" w:hAnsi="Cambria Math"/>
              <w:lang w:val="en-US"/>
            </w:rPr>
            <m:t>W</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ε</m:t>
              </m:r>
            </m:e>
            <m:sub>
              <m:r>
                <m:rPr>
                  <m:sty m:val="bi"/>
                </m:rPr>
                <w:rPr>
                  <w:rFonts w:ascii="Cambria Math" w:hAnsi="Cambria Math"/>
                  <w:lang w:val="en-US"/>
                </w:rPr>
                <m:t>t</m:t>
              </m:r>
            </m:sub>
          </m:sSub>
        </m:oMath>
      </m:oMathPara>
    </w:p>
    <w:p w14:paraId="0FA17F6E" w14:textId="57CD93AD" w:rsidR="005104A3" w:rsidRPr="00DB36E8" w:rsidRDefault="006227D3" w:rsidP="00DB36E8">
      <w:pPr>
        <w:rPr>
          <w:lang w:val="es-PE"/>
        </w:rPr>
      </w:pPr>
      <w:r w:rsidRPr="00AF6545">
        <w:rPr>
          <w:lang w:val="es-PE"/>
        </w:rPr>
        <w:t xml:space="preserve">Este modelo se estimará por máxima verosimilitud, aplicando un test de razón de verosimilitud (LR) para las hipótesis </w:t>
      </w:r>
      <m:oMath>
        <m:sSubSup>
          <m:sSubSupPr>
            <m:ctrlPr>
              <w:rPr>
                <w:rFonts w:ascii="Cambria Math" w:hAnsi="Cambria Math"/>
                <w:i/>
                <w:lang w:val="es-PE"/>
              </w:rPr>
            </m:ctrlPr>
          </m:sSubSupPr>
          <m:e>
            <m:r>
              <w:rPr>
                <w:rFonts w:ascii="Cambria Math" w:hAnsi="Cambria Math"/>
                <w:lang w:val="es-PE"/>
              </w:rPr>
              <m:t>H</m:t>
            </m:r>
          </m:e>
          <m:sub>
            <m:r>
              <w:rPr>
                <w:rFonts w:ascii="Cambria Math" w:hAnsi="Cambria Math"/>
                <w:lang w:val="es-PE"/>
              </w:rPr>
              <m:t>0</m:t>
            </m:r>
          </m:sub>
          <m:sup>
            <m:r>
              <w:rPr>
                <w:rFonts w:ascii="Cambria Math" w:hAnsi="Cambria Math"/>
                <w:lang w:val="es-PE"/>
              </w:rPr>
              <m:t>1</m:t>
            </m:r>
          </m:sup>
        </m:sSubSup>
        <m:r>
          <w:rPr>
            <w:rFonts w:ascii="Cambria Math" w:hAnsi="Cambria Math"/>
            <w:lang w:val="es-PE"/>
          </w:rPr>
          <m:t>:θ=0</m:t>
        </m:r>
      </m:oMath>
      <w:r w:rsidRPr="00AF6545">
        <w:rPr>
          <w:lang w:val="es-PE"/>
        </w:rPr>
        <w:t xml:space="preserve"> y </w:t>
      </w:r>
      <m:oMath>
        <m:sSubSup>
          <m:sSubSupPr>
            <m:ctrlPr>
              <w:rPr>
                <w:rFonts w:ascii="Cambria Math" w:hAnsi="Cambria Math"/>
                <w:i/>
                <w:lang w:val="es-PE"/>
              </w:rPr>
            </m:ctrlPr>
          </m:sSubSupPr>
          <m:e>
            <m:r>
              <w:rPr>
                <w:rFonts w:ascii="Cambria Math" w:hAnsi="Cambria Math"/>
                <w:lang w:val="es-PE"/>
              </w:rPr>
              <m:t>H</m:t>
            </m:r>
          </m:e>
          <m:sub>
            <m:r>
              <w:rPr>
                <w:rFonts w:ascii="Cambria Math" w:hAnsi="Cambria Math"/>
                <w:lang w:val="es-PE"/>
              </w:rPr>
              <m:t>0</m:t>
            </m:r>
          </m:sub>
          <m:sup>
            <m:r>
              <w:rPr>
                <w:rFonts w:ascii="Cambria Math" w:hAnsi="Cambria Math"/>
                <w:lang w:val="es-PE"/>
              </w:rPr>
              <m:t>2</m:t>
            </m:r>
          </m:sup>
        </m:sSubSup>
        <m:r>
          <w:rPr>
            <w:rFonts w:ascii="Cambria Math" w:hAnsi="Cambria Math"/>
            <w:lang w:val="es-PE"/>
          </w:rPr>
          <m:t>:θ+ρβ=0</m:t>
        </m:r>
      </m:oMath>
      <w:r w:rsidRPr="00AF6545">
        <w:rPr>
          <w:lang w:val="es-PE"/>
        </w:rPr>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EB65A6" w14:textId="77777777" w:rsidR="00DB36E8" w:rsidRDefault="00DB36E8">
      <w:pPr>
        <w:spacing w:after="200" w:line="276" w:lineRule="auto"/>
        <w:jc w:val="left"/>
        <w:rPr>
          <w:b/>
          <w:lang w:val="en-US"/>
        </w:rPr>
      </w:pPr>
      <w:r>
        <w:rPr>
          <w:b/>
          <w:lang w:val="en-US"/>
        </w:rPr>
        <w:br w:type="page"/>
      </w:r>
    </w:p>
    <w:p w14:paraId="5863AF65" w14:textId="27CFE75B" w:rsidR="005104A3" w:rsidRPr="00AF6545" w:rsidRDefault="005104A3" w:rsidP="005104A3">
      <w:pPr>
        <w:rPr>
          <w:b/>
          <w:lang w:val="en-US"/>
        </w:rPr>
      </w:pPr>
      <w:r w:rsidRPr="00AF6545">
        <w:rPr>
          <w:b/>
          <w:lang w:val="en-US"/>
        </w:rPr>
        <w:lastRenderedPageBreak/>
        <w:t>Bibliografía</w:t>
      </w:r>
    </w:p>
    <w:p w14:paraId="4506B9A4" w14:textId="77777777" w:rsidR="00AF6545" w:rsidRPr="00AF6545" w:rsidRDefault="005104A3" w:rsidP="00AF6545">
      <w:pPr>
        <w:pStyle w:val="Bibliografa"/>
        <w:rPr>
          <w:rFonts w:ascii="Times New Roman" w:hAnsi="Times New Roman"/>
          <w:lang w:val="en-US"/>
        </w:rPr>
      </w:pPr>
      <w:r>
        <w:fldChar w:fldCharType="begin"/>
      </w:r>
      <w:r w:rsidR="00AF6545" w:rsidRPr="00AF6545">
        <w:rPr>
          <w:lang w:val="en-US"/>
        </w:rPr>
        <w:instrText xml:space="preserve"> ADDIN ZOTERO_BIBL {"uncited":[],"omitted":[],"custom":[]} CSL_BIBLIOGRAPHY </w:instrText>
      </w:r>
      <w:r>
        <w:fldChar w:fldCharType="separate"/>
      </w:r>
      <w:r w:rsidR="00AF6545" w:rsidRPr="00AF6545">
        <w:rPr>
          <w:rFonts w:ascii="Times New Roman" w:hAnsi="Times New Roman"/>
          <w:lang w:val="en-US"/>
        </w:rPr>
        <w:t xml:space="preserve">Alderighi, M., &amp; Baudino, M. (2015). The pricing behavior of Italian gas stations: Some evidence from the Cuneo retail fuel market. </w:t>
      </w:r>
      <w:r w:rsidR="00AF6545" w:rsidRPr="00AF6545">
        <w:rPr>
          <w:rFonts w:ascii="Times New Roman" w:hAnsi="Times New Roman"/>
          <w:i/>
          <w:iCs/>
          <w:lang w:val="en-US"/>
        </w:rPr>
        <w:t>Energy Economics</w:t>
      </w:r>
      <w:r w:rsidR="00AF6545" w:rsidRPr="00AF6545">
        <w:rPr>
          <w:rFonts w:ascii="Times New Roman" w:hAnsi="Times New Roman"/>
          <w:lang w:val="en-US"/>
        </w:rPr>
        <w:t xml:space="preserve">, </w:t>
      </w:r>
      <w:r w:rsidR="00AF6545" w:rsidRPr="00AF6545">
        <w:rPr>
          <w:rFonts w:ascii="Times New Roman" w:hAnsi="Times New Roman"/>
          <w:i/>
          <w:iCs/>
          <w:lang w:val="en-US"/>
        </w:rPr>
        <w:t>50</w:t>
      </w:r>
      <w:r w:rsidR="00AF6545" w:rsidRPr="00AF6545">
        <w:rPr>
          <w:rFonts w:ascii="Times New Roman" w:hAnsi="Times New Roman"/>
          <w:lang w:val="en-US"/>
        </w:rPr>
        <w:t>, 33-46. https://doi.org/10.1016/j.eneco.2015.04.017</w:t>
      </w:r>
    </w:p>
    <w:p w14:paraId="2E0CAC29" w14:textId="77777777" w:rsidR="00AF6545" w:rsidRPr="00AF6545" w:rsidRDefault="00AF6545" w:rsidP="00AF6545">
      <w:pPr>
        <w:pStyle w:val="Bibliografa"/>
        <w:rPr>
          <w:rFonts w:ascii="Times New Roman" w:hAnsi="Times New Roman"/>
        </w:rPr>
      </w:pPr>
      <w:r w:rsidRPr="00AF6545">
        <w:rPr>
          <w:rFonts w:ascii="Times New Roman" w:hAnsi="Times New Roman"/>
          <w:lang w:val="en-US"/>
        </w:rPr>
        <w:t xml:space="preserve">Anselin, L. (2013). </w:t>
      </w:r>
      <w:r w:rsidRPr="00AF6545">
        <w:rPr>
          <w:rFonts w:ascii="Times New Roman" w:hAnsi="Times New Roman"/>
          <w:i/>
          <w:iCs/>
          <w:lang w:val="en-US"/>
        </w:rPr>
        <w:t>Spatial econometrics: methods and models</w:t>
      </w:r>
      <w:r w:rsidRPr="00AF6545">
        <w:rPr>
          <w:rFonts w:ascii="Times New Roman" w:hAnsi="Times New Roman"/>
          <w:lang w:val="en-US"/>
        </w:rPr>
        <w:t xml:space="preserve"> (Vol. 4). </w:t>
      </w:r>
      <w:r w:rsidRPr="00AF6545">
        <w:rPr>
          <w:rFonts w:ascii="Times New Roman" w:hAnsi="Times New Roman"/>
        </w:rPr>
        <w:t>Springer Science &amp; Business Media.</w:t>
      </w:r>
    </w:p>
    <w:p w14:paraId="373563BB" w14:textId="77777777" w:rsidR="00AF6545" w:rsidRPr="00AF6545" w:rsidRDefault="00AF6545" w:rsidP="00AF6545">
      <w:pPr>
        <w:pStyle w:val="Bibliografa"/>
        <w:rPr>
          <w:rFonts w:ascii="Times New Roman" w:hAnsi="Times New Roman"/>
        </w:rPr>
      </w:pPr>
      <w:r w:rsidRPr="00AF6545">
        <w:rPr>
          <w:rFonts w:ascii="Times New Roman" w:hAnsi="Times New Roman"/>
          <w:lang w:val="en-US"/>
        </w:rPr>
        <w:t xml:space="preserve">Anselin, L., Bera, A. K., Florax, R., &amp; Yoon, M. J. (1996). Simple diagnostic tests for spatial dependence. </w:t>
      </w:r>
      <w:r w:rsidRPr="00AF6545">
        <w:rPr>
          <w:rFonts w:ascii="Times New Roman" w:hAnsi="Times New Roman"/>
          <w:i/>
          <w:iCs/>
        </w:rPr>
        <w:t>Regional Science and Urban Economics</w:t>
      </w:r>
      <w:r w:rsidRPr="00AF6545">
        <w:rPr>
          <w:rFonts w:ascii="Times New Roman" w:hAnsi="Times New Roman"/>
        </w:rPr>
        <w:t xml:space="preserve">, </w:t>
      </w:r>
      <w:r w:rsidRPr="00AF6545">
        <w:rPr>
          <w:rFonts w:ascii="Times New Roman" w:hAnsi="Times New Roman"/>
          <w:i/>
          <w:iCs/>
        </w:rPr>
        <w:t>26</w:t>
      </w:r>
      <w:r w:rsidRPr="00AF6545">
        <w:rPr>
          <w:rFonts w:ascii="Times New Roman" w:hAnsi="Times New Roman"/>
        </w:rPr>
        <w:t>(1), 77-104. https://doi.org/10.1016/0166-0462(95)02111-6</w:t>
      </w:r>
    </w:p>
    <w:p w14:paraId="163FD7AD" w14:textId="77777777" w:rsidR="00AF6545" w:rsidRPr="00AF6545" w:rsidRDefault="00AF6545" w:rsidP="00AF6545">
      <w:pPr>
        <w:pStyle w:val="Bibliografa"/>
        <w:rPr>
          <w:rFonts w:ascii="Times New Roman" w:hAnsi="Times New Roman"/>
          <w:lang w:val="en-US"/>
        </w:rPr>
      </w:pPr>
      <w:r w:rsidRPr="00AF6545">
        <w:rPr>
          <w:rFonts w:ascii="Times New Roman" w:hAnsi="Times New Roman"/>
        </w:rPr>
        <w:t xml:space="preserve">Aurazo Iglesias, J. G., &amp; Rojas Milla, P. C. (2018). </w:t>
      </w:r>
      <w:r w:rsidRPr="00AF6545">
        <w:rPr>
          <w:rFonts w:ascii="Times New Roman" w:hAnsi="Times New Roman"/>
          <w:i/>
          <w:iCs/>
        </w:rPr>
        <w:t>Modelo de competencia espacial: una aplicación al mercado retail del GNV en el Perú</w:t>
      </w:r>
      <w:r w:rsidRPr="00AF6545">
        <w:rPr>
          <w:rFonts w:ascii="Times New Roman" w:hAnsi="Times New Roman"/>
        </w:rPr>
        <w:t xml:space="preserve">. </w:t>
      </w:r>
      <w:r w:rsidRPr="00AF6545">
        <w:rPr>
          <w:rFonts w:ascii="Times New Roman" w:hAnsi="Times New Roman"/>
          <w:lang w:val="en-US"/>
        </w:rPr>
        <w:t>Perú.</w:t>
      </w:r>
    </w:p>
    <w:p w14:paraId="2A41BA0D"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Byrne, P. F. (2010). </w:t>
      </w:r>
      <w:r w:rsidRPr="00AF6545">
        <w:rPr>
          <w:rFonts w:ascii="Times New Roman" w:hAnsi="Times New Roman"/>
          <w:i/>
          <w:iCs/>
          <w:lang w:val="en-US"/>
        </w:rPr>
        <w:t>Geographic Competition in the Retail Gasoline Market: Who are a gas station’s competitors?</w:t>
      </w:r>
      <w:r w:rsidRPr="00AF6545">
        <w:rPr>
          <w:rFonts w:ascii="Times New Roman" w:hAnsi="Times New Roman"/>
          <w:lang w:val="en-US"/>
        </w:rPr>
        <w:t xml:space="preserve"> (2), 23.</w:t>
      </w:r>
    </w:p>
    <w:p w14:paraId="368B5306"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Chung, Y., &amp; Park, H. (2014). Analysis of Spatial Interaction Effect of Retail Gasoline Price in Seoul. </w:t>
      </w:r>
      <w:r w:rsidRPr="00AF6545">
        <w:rPr>
          <w:rFonts w:ascii="Times New Roman" w:hAnsi="Times New Roman"/>
          <w:i/>
          <w:iCs/>
          <w:lang w:val="en-US"/>
        </w:rPr>
        <w:t>Korea and the World Economy</w:t>
      </w:r>
      <w:r w:rsidRPr="00AF6545">
        <w:rPr>
          <w:rFonts w:ascii="Times New Roman" w:hAnsi="Times New Roman"/>
          <w:lang w:val="en-US"/>
        </w:rPr>
        <w:t xml:space="preserve">, </w:t>
      </w:r>
      <w:r w:rsidRPr="00AF6545">
        <w:rPr>
          <w:rFonts w:ascii="Times New Roman" w:hAnsi="Times New Roman"/>
          <w:i/>
          <w:iCs/>
          <w:lang w:val="en-US"/>
        </w:rPr>
        <w:t>15</w:t>
      </w:r>
      <w:r w:rsidRPr="00AF6545">
        <w:rPr>
          <w:rFonts w:ascii="Times New Roman" w:hAnsi="Times New Roman"/>
          <w:lang w:val="en-US"/>
        </w:rPr>
        <w:t>(2), 209–241.</w:t>
      </w:r>
    </w:p>
    <w:p w14:paraId="19FCDFE7"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Clemenz, G., &amp; Gugler, K. (2006). Locational choice and price competition: some empirical results for the austrian retail gasoline market. </w:t>
      </w:r>
      <w:r w:rsidRPr="00AF6545">
        <w:rPr>
          <w:rFonts w:ascii="Times New Roman" w:hAnsi="Times New Roman"/>
          <w:i/>
          <w:iCs/>
          <w:lang w:val="en-US"/>
        </w:rPr>
        <w:t>Empirical Economics</w:t>
      </w:r>
      <w:r w:rsidRPr="00AF6545">
        <w:rPr>
          <w:rFonts w:ascii="Times New Roman" w:hAnsi="Times New Roman"/>
          <w:lang w:val="en-US"/>
        </w:rPr>
        <w:t xml:space="preserve">, </w:t>
      </w:r>
      <w:r w:rsidRPr="00AF6545">
        <w:rPr>
          <w:rFonts w:ascii="Times New Roman" w:hAnsi="Times New Roman"/>
          <w:i/>
          <w:iCs/>
          <w:lang w:val="en-US"/>
        </w:rPr>
        <w:t>31</w:t>
      </w:r>
      <w:r w:rsidRPr="00AF6545">
        <w:rPr>
          <w:rFonts w:ascii="Times New Roman" w:hAnsi="Times New Roman"/>
          <w:lang w:val="en-US"/>
        </w:rPr>
        <w:t>(2), 291-312. https://doi.org/10.1007/s00181-005-0016-7</w:t>
      </w:r>
    </w:p>
    <w:p w14:paraId="152668C7"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Dale, P. (2004). </w:t>
      </w:r>
      <w:r w:rsidRPr="00AF6545">
        <w:rPr>
          <w:rFonts w:ascii="Times New Roman" w:hAnsi="Times New Roman"/>
          <w:i/>
          <w:iCs/>
          <w:lang w:val="en-US"/>
        </w:rPr>
        <w:t>Introduction to Mathematical Techniques used in GIS</w:t>
      </w:r>
      <w:r w:rsidRPr="00AF6545">
        <w:rPr>
          <w:rFonts w:ascii="Times New Roman" w:hAnsi="Times New Roman"/>
          <w:lang w:val="en-US"/>
        </w:rPr>
        <w:t>. CRC Press.</w:t>
      </w:r>
    </w:p>
    <w:p w14:paraId="7D8E552F"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Eckert, A., &amp; West, D. S. (2005). Price uniformity and competition in a retail gasoline market. </w:t>
      </w:r>
      <w:r w:rsidRPr="00AF6545">
        <w:rPr>
          <w:rFonts w:ascii="Times New Roman" w:hAnsi="Times New Roman"/>
          <w:i/>
          <w:iCs/>
          <w:lang w:val="en-US"/>
        </w:rPr>
        <w:t>Journal of Economic Behavior &amp; Organization</w:t>
      </w:r>
      <w:r w:rsidRPr="00AF6545">
        <w:rPr>
          <w:rFonts w:ascii="Times New Roman" w:hAnsi="Times New Roman"/>
          <w:lang w:val="en-US"/>
        </w:rPr>
        <w:t xml:space="preserve">, </w:t>
      </w:r>
      <w:r w:rsidRPr="00AF6545">
        <w:rPr>
          <w:rFonts w:ascii="Times New Roman" w:hAnsi="Times New Roman"/>
          <w:i/>
          <w:iCs/>
          <w:lang w:val="en-US"/>
        </w:rPr>
        <w:t>56</w:t>
      </w:r>
      <w:r w:rsidRPr="00AF6545">
        <w:rPr>
          <w:rFonts w:ascii="Times New Roman" w:hAnsi="Times New Roman"/>
          <w:lang w:val="en-US"/>
        </w:rPr>
        <w:t>(2), 219-237. https://doi.org/10.1016/j.jebo.2003.09.006</w:t>
      </w:r>
    </w:p>
    <w:p w14:paraId="5866E36F"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Elhorst, J. P. (2010). Applied Spatial Econometrics: Raising the Bar. </w:t>
      </w:r>
      <w:r w:rsidRPr="00AF6545">
        <w:rPr>
          <w:rFonts w:ascii="Times New Roman" w:hAnsi="Times New Roman"/>
          <w:i/>
          <w:iCs/>
          <w:lang w:val="en-US"/>
        </w:rPr>
        <w:t>Spatial Economic Analysis</w:t>
      </w:r>
      <w:r w:rsidRPr="00AF6545">
        <w:rPr>
          <w:rFonts w:ascii="Times New Roman" w:hAnsi="Times New Roman"/>
          <w:lang w:val="en-US"/>
        </w:rPr>
        <w:t xml:space="preserve">, </w:t>
      </w:r>
      <w:r w:rsidRPr="00AF6545">
        <w:rPr>
          <w:rFonts w:ascii="Times New Roman" w:hAnsi="Times New Roman"/>
          <w:i/>
          <w:iCs/>
          <w:lang w:val="en-US"/>
        </w:rPr>
        <w:t>5</w:t>
      </w:r>
      <w:r w:rsidRPr="00AF6545">
        <w:rPr>
          <w:rFonts w:ascii="Times New Roman" w:hAnsi="Times New Roman"/>
          <w:lang w:val="en-US"/>
        </w:rPr>
        <w:t>(1), 9-28. https://doi.org/10.1080/17421770903541772</w:t>
      </w:r>
    </w:p>
    <w:p w14:paraId="7E3000CC"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Fingleton, B., &amp; Le Gallo, J. (2008). Estimating spatial models with endogenous variables, a spatial lag and spatially dependent disturbances: finite sample properties. </w:t>
      </w:r>
      <w:r w:rsidRPr="00AF6545">
        <w:rPr>
          <w:rFonts w:ascii="Times New Roman" w:hAnsi="Times New Roman"/>
          <w:i/>
          <w:iCs/>
          <w:lang w:val="en-US"/>
        </w:rPr>
        <w:t>Papers in Regional Science</w:t>
      </w:r>
      <w:r w:rsidRPr="00AF6545">
        <w:rPr>
          <w:rFonts w:ascii="Times New Roman" w:hAnsi="Times New Roman"/>
          <w:lang w:val="en-US"/>
        </w:rPr>
        <w:t xml:space="preserve">, </w:t>
      </w:r>
      <w:r w:rsidRPr="00AF6545">
        <w:rPr>
          <w:rFonts w:ascii="Times New Roman" w:hAnsi="Times New Roman"/>
          <w:i/>
          <w:iCs/>
          <w:lang w:val="en-US"/>
        </w:rPr>
        <w:t>87</w:t>
      </w:r>
      <w:r w:rsidRPr="00AF6545">
        <w:rPr>
          <w:rFonts w:ascii="Times New Roman" w:hAnsi="Times New Roman"/>
          <w:lang w:val="en-US"/>
        </w:rPr>
        <w:t>(3), 319–339.</w:t>
      </w:r>
    </w:p>
    <w:p w14:paraId="129B8C65"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Hastings, J. S. (2004). Vertical Relationships and Competition in Retail Gasoline Markets: Empirical Evidence from Contract Changes in Southern California. </w:t>
      </w:r>
      <w:r w:rsidRPr="00AF6545">
        <w:rPr>
          <w:rFonts w:ascii="Times New Roman" w:hAnsi="Times New Roman"/>
          <w:i/>
          <w:iCs/>
          <w:lang w:val="en-US"/>
        </w:rPr>
        <w:t>The American Economic Review</w:t>
      </w:r>
      <w:r w:rsidRPr="00AF6545">
        <w:rPr>
          <w:rFonts w:ascii="Times New Roman" w:hAnsi="Times New Roman"/>
          <w:lang w:val="en-US"/>
        </w:rPr>
        <w:t xml:space="preserve">, </w:t>
      </w:r>
      <w:r w:rsidRPr="00AF6545">
        <w:rPr>
          <w:rFonts w:ascii="Times New Roman" w:hAnsi="Times New Roman"/>
          <w:i/>
          <w:iCs/>
          <w:lang w:val="en-US"/>
        </w:rPr>
        <w:t>94</w:t>
      </w:r>
      <w:r w:rsidRPr="00AF6545">
        <w:rPr>
          <w:rFonts w:ascii="Times New Roman" w:hAnsi="Times New Roman"/>
          <w:lang w:val="en-US"/>
        </w:rPr>
        <w:t>(1), 317-328. Recuperado de https://www.jstor.org/stable/3592781</w:t>
      </w:r>
    </w:p>
    <w:p w14:paraId="7465C2F3"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Houde, J.-F. (2012). Spatial Differentiation and Vertical Mergers in Retail Markets for Gasoline. </w:t>
      </w:r>
      <w:r w:rsidRPr="00AF6545">
        <w:rPr>
          <w:rFonts w:ascii="Times New Roman" w:hAnsi="Times New Roman"/>
          <w:i/>
          <w:iCs/>
          <w:lang w:val="en-US"/>
        </w:rPr>
        <w:t>American Economic Review</w:t>
      </w:r>
      <w:r w:rsidRPr="00AF6545">
        <w:rPr>
          <w:rFonts w:ascii="Times New Roman" w:hAnsi="Times New Roman"/>
          <w:lang w:val="en-US"/>
        </w:rPr>
        <w:t xml:space="preserve">, </w:t>
      </w:r>
      <w:r w:rsidRPr="00AF6545">
        <w:rPr>
          <w:rFonts w:ascii="Times New Roman" w:hAnsi="Times New Roman"/>
          <w:i/>
          <w:iCs/>
          <w:lang w:val="en-US"/>
        </w:rPr>
        <w:t>102</w:t>
      </w:r>
      <w:r w:rsidRPr="00AF6545">
        <w:rPr>
          <w:rFonts w:ascii="Times New Roman" w:hAnsi="Times New Roman"/>
          <w:lang w:val="en-US"/>
        </w:rPr>
        <w:t>(5), 2147-2182. https://doi.org/10.1257/aer.102.5.2147</w:t>
      </w:r>
    </w:p>
    <w:p w14:paraId="7EF4D052"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LeSage, J., &amp; Pace, R. K. (2009). </w:t>
      </w:r>
      <w:r w:rsidRPr="00AF6545">
        <w:rPr>
          <w:rFonts w:ascii="Times New Roman" w:hAnsi="Times New Roman"/>
          <w:i/>
          <w:iCs/>
          <w:lang w:val="en-US"/>
        </w:rPr>
        <w:t>Introduction to spatial econometrics</w:t>
      </w:r>
      <w:r w:rsidRPr="00AF6545">
        <w:rPr>
          <w:rFonts w:ascii="Times New Roman" w:hAnsi="Times New Roman"/>
          <w:lang w:val="en-US"/>
        </w:rPr>
        <w:t>. Chapman and Hall/CRC.</w:t>
      </w:r>
    </w:p>
    <w:p w14:paraId="10E8D74C"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Manski, C. F. (1993). Identification of endogenous social effects: The reflection problem. </w:t>
      </w:r>
      <w:r w:rsidRPr="00AF6545">
        <w:rPr>
          <w:rFonts w:ascii="Times New Roman" w:hAnsi="Times New Roman"/>
          <w:i/>
          <w:iCs/>
          <w:lang w:val="en-US"/>
        </w:rPr>
        <w:t>The review of economic studies</w:t>
      </w:r>
      <w:r w:rsidRPr="00AF6545">
        <w:rPr>
          <w:rFonts w:ascii="Times New Roman" w:hAnsi="Times New Roman"/>
          <w:lang w:val="en-US"/>
        </w:rPr>
        <w:t xml:space="preserve">, </w:t>
      </w:r>
      <w:r w:rsidRPr="00AF6545">
        <w:rPr>
          <w:rFonts w:ascii="Times New Roman" w:hAnsi="Times New Roman"/>
          <w:i/>
          <w:iCs/>
          <w:lang w:val="en-US"/>
        </w:rPr>
        <w:t>60</w:t>
      </w:r>
      <w:r w:rsidRPr="00AF6545">
        <w:rPr>
          <w:rFonts w:ascii="Times New Roman" w:hAnsi="Times New Roman"/>
          <w:lang w:val="en-US"/>
        </w:rPr>
        <w:t>(3), 531–542.</w:t>
      </w:r>
    </w:p>
    <w:p w14:paraId="4F983BAD"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Manuszak, M. D. (2010). Predicting the impact of upstream mergers on downstream markets with an application to the retail gasoline industry. </w:t>
      </w:r>
      <w:r w:rsidRPr="00AF6545">
        <w:rPr>
          <w:rFonts w:ascii="Times New Roman" w:hAnsi="Times New Roman"/>
          <w:i/>
          <w:iCs/>
          <w:lang w:val="en-US"/>
        </w:rPr>
        <w:t>International Journal of Industrial Organization</w:t>
      </w:r>
      <w:r w:rsidRPr="00AF6545">
        <w:rPr>
          <w:rFonts w:ascii="Times New Roman" w:hAnsi="Times New Roman"/>
          <w:lang w:val="en-US"/>
        </w:rPr>
        <w:t xml:space="preserve">, </w:t>
      </w:r>
      <w:r w:rsidRPr="00AF6545">
        <w:rPr>
          <w:rFonts w:ascii="Times New Roman" w:hAnsi="Times New Roman"/>
          <w:i/>
          <w:iCs/>
          <w:lang w:val="en-US"/>
        </w:rPr>
        <w:t>28</w:t>
      </w:r>
      <w:r w:rsidRPr="00AF6545">
        <w:rPr>
          <w:rFonts w:ascii="Times New Roman" w:hAnsi="Times New Roman"/>
          <w:lang w:val="en-US"/>
        </w:rPr>
        <w:t>(1), 99-111. https://doi.org/10.1016/j.ijindorg.2009.07.002</w:t>
      </w:r>
    </w:p>
    <w:p w14:paraId="1E36371D" w14:textId="77777777" w:rsidR="00AF6545" w:rsidRPr="00AF6545" w:rsidRDefault="00AF6545" w:rsidP="00AF6545">
      <w:pPr>
        <w:pStyle w:val="Bibliografa"/>
        <w:rPr>
          <w:rFonts w:ascii="Times New Roman" w:hAnsi="Times New Roman"/>
        </w:rPr>
      </w:pPr>
      <w:r w:rsidRPr="00AF6545">
        <w:rPr>
          <w:rFonts w:ascii="Times New Roman" w:hAnsi="Times New Roman"/>
          <w:lang w:val="en-US"/>
        </w:rPr>
        <w:t xml:space="preserve">Pennerstorfer, D. (2009). Spatial price competition in retail gasoline markets: evidence from Austria. </w:t>
      </w:r>
      <w:r w:rsidRPr="00AF6545">
        <w:rPr>
          <w:rFonts w:ascii="Times New Roman" w:hAnsi="Times New Roman"/>
          <w:i/>
          <w:iCs/>
        </w:rPr>
        <w:t>The Annals of Regional Science</w:t>
      </w:r>
      <w:r w:rsidRPr="00AF6545">
        <w:rPr>
          <w:rFonts w:ascii="Times New Roman" w:hAnsi="Times New Roman"/>
        </w:rPr>
        <w:t xml:space="preserve">, </w:t>
      </w:r>
      <w:r w:rsidRPr="00AF6545">
        <w:rPr>
          <w:rFonts w:ascii="Times New Roman" w:hAnsi="Times New Roman"/>
          <w:i/>
          <w:iCs/>
        </w:rPr>
        <w:t>43</w:t>
      </w:r>
      <w:r w:rsidRPr="00AF6545">
        <w:rPr>
          <w:rFonts w:ascii="Times New Roman" w:hAnsi="Times New Roman"/>
        </w:rPr>
        <w:t>(1), 133-158. https://doi.org/10.1007/s00168-007-0206-7</w:t>
      </w:r>
    </w:p>
    <w:p w14:paraId="20ED1028"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lastRenderedPageBreak/>
        <w:t xml:space="preserve">Pennerstorfer, D., &amp; Weiss, C. (2013). Spatial clustering and market power: Evidence from the retail gasoline market. </w:t>
      </w:r>
      <w:r w:rsidRPr="00AF6545">
        <w:rPr>
          <w:rFonts w:ascii="Times New Roman" w:hAnsi="Times New Roman"/>
          <w:i/>
          <w:iCs/>
          <w:lang w:val="en-US"/>
        </w:rPr>
        <w:t>Regional Science and Urban Economics</w:t>
      </w:r>
      <w:r w:rsidRPr="00AF6545">
        <w:rPr>
          <w:rFonts w:ascii="Times New Roman" w:hAnsi="Times New Roman"/>
          <w:lang w:val="en-US"/>
        </w:rPr>
        <w:t xml:space="preserve">, </w:t>
      </w:r>
      <w:r w:rsidRPr="00AF6545">
        <w:rPr>
          <w:rFonts w:ascii="Times New Roman" w:hAnsi="Times New Roman"/>
          <w:i/>
          <w:iCs/>
          <w:lang w:val="en-US"/>
        </w:rPr>
        <w:t>43</w:t>
      </w:r>
      <w:r w:rsidRPr="00AF6545">
        <w:rPr>
          <w:rFonts w:ascii="Times New Roman" w:hAnsi="Times New Roman"/>
          <w:lang w:val="en-US"/>
        </w:rPr>
        <w:t>(4), 661-675. https://doi.org/10.1016/j.regsciurbeco.2013.04.002</w:t>
      </w:r>
    </w:p>
    <w:p w14:paraId="41917FFC" w14:textId="77777777" w:rsidR="00AF6545" w:rsidRPr="00AF6545" w:rsidRDefault="00AF6545" w:rsidP="00AF6545">
      <w:pPr>
        <w:pStyle w:val="Bibliografa"/>
        <w:rPr>
          <w:rFonts w:ascii="Times New Roman" w:hAnsi="Times New Roman"/>
          <w:lang w:val="en-US"/>
        </w:rPr>
      </w:pPr>
      <w:r w:rsidRPr="00AF6545">
        <w:rPr>
          <w:rFonts w:ascii="Times New Roman" w:hAnsi="Times New Roman"/>
        </w:rPr>
        <w:t xml:space="preserve">Pintado, A. B., &amp; Contín-Pilart, I. (2010). Influencia de los factores de localización en la fijación de los precios de los carburantes de automoción en España. </w:t>
      </w:r>
      <w:r w:rsidRPr="00AF6545">
        <w:rPr>
          <w:rFonts w:ascii="Times New Roman" w:hAnsi="Times New Roman"/>
          <w:i/>
          <w:iCs/>
          <w:lang w:val="en-US"/>
        </w:rPr>
        <w:t>Cuadernos económicos de ICE</w:t>
      </w:r>
      <w:r w:rsidRPr="00AF6545">
        <w:rPr>
          <w:rFonts w:ascii="Times New Roman" w:hAnsi="Times New Roman"/>
          <w:lang w:val="en-US"/>
        </w:rPr>
        <w:t>, (79).</w:t>
      </w:r>
    </w:p>
    <w:p w14:paraId="05E7BBE5"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Simpson, J., &amp; Taylor, C. (2008). Do Gasoline Mergers Affect Consumer Prices? The Marathon Ashland Petroleum and Ultramar Diamond Shamrock Transaction. </w:t>
      </w:r>
      <w:r w:rsidRPr="00AF6545">
        <w:rPr>
          <w:rFonts w:ascii="Times New Roman" w:hAnsi="Times New Roman"/>
          <w:i/>
          <w:iCs/>
          <w:lang w:val="en-US"/>
        </w:rPr>
        <w:t>The Journal of Law and Economics</w:t>
      </w:r>
      <w:r w:rsidRPr="00AF6545">
        <w:rPr>
          <w:rFonts w:ascii="Times New Roman" w:hAnsi="Times New Roman"/>
          <w:lang w:val="en-US"/>
        </w:rPr>
        <w:t xml:space="preserve">, </w:t>
      </w:r>
      <w:r w:rsidRPr="00AF6545">
        <w:rPr>
          <w:rFonts w:ascii="Times New Roman" w:hAnsi="Times New Roman"/>
          <w:i/>
          <w:iCs/>
          <w:lang w:val="en-US"/>
        </w:rPr>
        <w:t>51</w:t>
      </w:r>
      <w:r w:rsidRPr="00AF6545">
        <w:rPr>
          <w:rFonts w:ascii="Times New Roman" w:hAnsi="Times New Roman"/>
          <w:lang w:val="en-US"/>
        </w:rPr>
        <w:t>(1), 135-152. https://doi.org/10.1086/520004</w:t>
      </w:r>
    </w:p>
    <w:p w14:paraId="261FEF66" w14:textId="77777777" w:rsidR="00AF6545" w:rsidRPr="00AF6545" w:rsidRDefault="00AF6545" w:rsidP="00AF6545">
      <w:pPr>
        <w:pStyle w:val="Bibliografa"/>
        <w:rPr>
          <w:rFonts w:ascii="Times New Roman" w:hAnsi="Times New Roman"/>
        </w:rPr>
      </w:pPr>
      <w:r w:rsidRPr="00AF6545">
        <w:rPr>
          <w:rFonts w:ascii="Times New Roman" w:hAnsi="Times New Roman"/>
          <w:lang w:val="en-US"/>
        </w:rPr>
        <w:t xml:space="preserve">Slade, M. E. (1992). Vancouver’s Gasoline-Price Wars: An Empirical Exercise in Uncovering Supergame Strategies. </w:t>
      </w:r>
      <w:r w:rsidRPr="00AF6545">
        <w:rPr>
          <w:rFonts w:ascii="Times New Roman" w:hAnsi="Times New Roman"/>
          <w:i/>
          <w:iCs/>
        </w:rPr>
        <w:t>The Review of Economic Studies</w:t>
      </w:r>
      <w:r w:rsidRPr="00AF6545">
        <w:rPr>
          <w:rFonts w:ascii="Times New Roman" w:hAnsi="Times New Roman"/>
        </w:rPr>
        <w:t xml:space="preserve">, </w:t>
      </w:r>
      <w:r w:rsidRPr="00AF6545">
        <w:rPr>
          <w:rFonts w:ascii="Times New Roman" w:hAnsi="Times New Roman"/>
          <w:i/>
          <w:iCs/>
        </w:rPr>
        <w:t>59</w:t>
      </w:r>
      <w:r w:rsidRPr="00AF6545">
        <w:rPr>
          <w:rFonts w:ascii="Times New Roman" w:hAnsi="Times New Roman"/>
        </w:rPr>
        <w:t>(2), 257. https://doi.org/10.2307/2297954</w:t>
      </w:r>
    </w:p>
    <w:p w14:paraId="326151A1" w14:textId="0506E0CF" w:rsidR="005104A3" w:rsidRDefault="005104A3" w:rsidP="005104A3">
      <w:r>
        <w:fldChar w:fldCharType="end"/>
      </w:r>
    </w:p>
    <w:sectPr w:rsidR="005104A3" w:rsidSect="00170A3D">
      <w:headerReference w:type="default" r:id="rId1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go Uriarte" w:date="2019-04-06T20:33:00Z" w:initials="DUC">
    <w:p w14:paraId="0FDC3CD3" w14:textId="62192590" w:rsidR="002215E6" w:rsidRDefault="002215E6" w:rsidP="00F57A1B">
      <w:pPr>
        <w:pStyle w:val="Textocomentario"/>
      </w:pPr>
      <w:r>
        <w:rPr>
          <w:rStyle w:val="Refdecomentario"/>
        </w:rPr>
        <w:annotationRef/>
      </w:r>
      <w:r>
        <w:t>Posibles ideas:</w:t>
      </w:r>
    </w:p>
    <w:p w14:paraId="11E58CD1" w14:textId="77777777" w:rsidR="002215E6" w:rsidRDefault="002215E6" w:rsidP="00F57A1B">
      <w:pPr>
        <w:pStyle w:val="Textocomentario"/>
      </w:pPr>
      <w:r>
        <w:t>-</w:t>
      </w:r>
      <w:r>
        <w:tab/>
        <w:t>Hablar precios establecidos en libre mercado y breve resumen de la historia del minoreo de combustible en el país</w:t>
      </w:r>
    </w:p>
    <w:p w14:paraId="2E57E539" w14:textId="77777777" w:rsidR="002215E6" w:rsidRDefault="002215E6" w:rsidP="00F57A1B">
      <w:pPr>
        <w:pStyle w:val="Textocomentario"/>
      </w:pPr>
      <w:r>
        <w:t>-</w:t>
      </w:r>
      <w:r>
        <w:tab/>
        <w:t>Quejas de usuarios porque las bajas en los precios de los combustibles no se trasladan igual de rápido</w:t>
      </w:r>
    </w:p>
    <w:p w14:paraId="79C2DDA6" w14:textId="7D01977E" w:rsidR="002215E6" w:rsidRDefault="002215E6" w:rsidP="00F57A1B">
      <w:pPr>
        <w:pStyle w:val="Textocomentario"/>
      </w:pPr>
      <w:r>
        <w:t>-</w:t>
      </w:r>
      <w:r>
        <w:tab/>
        <w:t xml:space="preserve">Las quejas están dirigidas a los productores, pero este es el caso? Asumimos que </w:t>
      </w:r>
      <w:proofErr w:type="gramStart"/>
      <w:r>
        <w:t>las grifos</w:t>
      </w:r>
      <w:proofErr w:type="gramEnd"/>
      <w:r>
        <w:t xml:space="preserve"> compiten perfectamente, productos homogenos, pero no necesarimanete</w:t>
      </w:r>
    </w:p>
  </w:comment>
  <w:comment w:id="1" w:author="Diego Uriarte" w:date="2019-04-06T20:22:00Z" w:initials="DUC">
    <w:p w14:paraId="011A51CC" w14:textId="77777777" w:rsidR="002215E6" w:rsidRPr="0004424C" w:rsidRDefault="002215E6" w:rsidP="00F57A1B">
      <w:pPr>
        <w:pStyle w:val="Textocomentario"/>
        <w:rPr>
          <w:lang w:val="en-US"/>
        </w:rPr>
      </w:pPr>
      <w:r>
        <w:rPr>
          <w:rStyle w:val="Refdecomentario"/>
        </w:rPr>
        <w:annotationRef/>
      </w:r>
      <w:r w:rsidRPr="0004424C">
        <w:rPr>
          <w:lang w:val="en-US"/>
        </w:rPr>
        <w:t>Tal como señala Hastings (2004)</w:t>
      </w:r>
    </w:p>
  </w:comment>
  <w:comment w:id="2" w:author="Diego Uriarte" w:date="2019-04-06T20:20:00Z" w:initials="DUC">
    <w:p w14:paraId="69C0C05F" w14:textId="77777777" w:rsidR="002215E6" w:rsidRPr="007B4F71" w:rsidRDefault="002215E6" w:rsidP="00F57A1B">
      <w:pPr>
        <w:pStyle w:val="Textocomentario"/>
        <w:rPr>
          <w:lang w:val="en-US"/>
        </w:rPr>
      </w:pPr>
      <w:r>
        <w:rPr>
          <w:rStyle w:val="Refdecomentario"/>
        </w:rPr>
        <w:annotationRef/>
      </w:r>
      <w:r w:rsidRPr="007B4F71">
        <w:rPr>
          <w:lang w:val="en-US"/>
        </w:rPr>
        <w:t>The assumption of a competitive market however ignores the spatial differentiation that results when consumers incur travel costs. By giving individual firms pricing power, spatial differentiation creates the potential for competing firms to engage in strategic interaction in their pricing decision. This study uses spatial econometrics to examine the extent to which this product" (Byrne 2010:23)"differentiating results in strategic interaction in the pricing decision of retail gas stations."</w:t>
      </w:r>
    </w:p>
  </w:comment>
  <w:comment w:id="3" w:author="Diego Uriarte" w:date="2019-04-07T14:04:00Z" w:initials="DUC">
    <w:p w14:paraId="49E8B1D4" w14:textId="194CE933" w:rsidR="002215E6" w:rsidRDefault="002215E6" w:rsidP="00F57A1B">
      <w:pPr>
        <w:pStyle w:val="Textocomentario"/>
      </w:pPr>
      <w:r>
        <w:rPr>
          <w:rStyle w:val="Refdecomentario"/>
        </w:rPr>
        <w:annotationRef/>
      </w:r>
      <w:r>
        <w:rPr>
          <w:rStyle w:val="Refdecomentario"/>
        </w:rPr>
        <w:t>Añadir comentario sobre estado de estudios con econmetría espacial en el país</w:t>
      </w:r>
    </w:p>
  </w:comment>
  <w:comment w:id="5" w:author="Diego Uriarte" w:date="2019-04-07T15:22:00Z" w:initials="DUC">
    <w:p w14:paraId="01FA18F2" w14:textId="77777777" w:rsidR="002215E6" w:rsidRDefault="002215E6" w:rsidP="00F57A1B">
      <w:pPr>
        <w:pStyle w:val="Textocomentario"/>
      </w:pPr>
      <w:r>
        <w:rPr>
          <w:rStyle w:val="Refdecomentario"/>
        </w:rPr>
        <w:annotationRef/>
      </w:r>
      <w:r>
        <w:t>Outline:</w:t>
      </w:r>
    </w:p>
    <w:p w14:paraId="729BB921" w14:textId="77777777" w:rsidR="002215E6" w:rsidRDefault="002215E6" w:rsidP="00F57A1B">
      <w:pPr>
        <w:pStyle w:val="Textocomentario"/>
      </w:pPr>
      <w:r>
        <w:t>-</w:t>
      </w:r>
      <w:r>
        <w:tab/>
        <w:t>Estudios hechos en mercados de combustibles</w:t>
      </w:r>
    </w:p>
    <w:p w14:paraId="5B1A1030" w14:textId="77777777" w:rsidR="002215E6" w:rsidRDefault="002215E6" w:rsidP="00F57A1B">
      <w:pPr>
        <w:pStyle w:val="Textocomentario"/>
      </w:pPr>
      <w:r>
        <w:t>-</w:t>
      </w:r>
      <w:r>
        <w:tab/>
        <w:t>Competencia entre grifos</w:t>
      </w:r>
    </w:p>
    <w:p w14:paraId="11EBF342" w14:textId="77777777" w:rsidR="002215E6" w:rsidRDefault="002215E6" w:rsidP="00F57A1B">
      <w:pPr>
        <w:pStyle w:val="Textocomentario"/>
      </w:pPr>
      <w:r>
        <w:t>-</w:t>
      </w:r>
      <w:r>
        <w:tab/>
        <w:t>Modelos de competencia espacial, justificación</w:t>
      </w:r>
    </w:p>
    <w:p w14:paraId="34096371" w14:textId="23DFDB15" w:rsidR="002215E6" w:rsidRPr="00103A41" w:rsidRDefault="002215E6" w:rsidP="00F57A1B">
      <w:pPr>
        <w:pStyle w:val="Textocomentario"/>
        <w:rPr>
          <w:lang w:val="en-US"/>
        </w:rPr>
      </w:pPr>
      <w:r w:rsidRPr="00103A41">
        <w:rPr>
          <w:lang w:val="en-US"/>
        </w:rPr>
        <w:t>-</w:t>
      </w:r>
      <w:r w:rsidRPr="00103A41">
        <w:rPr>
          <w:lang w:val="en-US"/>
        </w:rPr>
        <w:tab/>
        <w:t>Construcción de polígonos de Thiessen</w:t>
      </w:r>
    </w:p>
  </w:comment>
  <w:comment w:id="12" w:author="Diego Uriarte" w:date="2019-04-07T22:13:00Z" w:initials="DUC">
    <w:p w14:paraId="75530A47" w14:textId="77777777" w:rsidR="002215E6" w:rsidRDefault="002215E6" w:rsidP="00103A41">
      <w:pPr>
        <w:pStyle w:val="Textocomentario"/>
      </w:pPr>
      <w:r>
        <w:rPr>
          <w:rStyle w:val="Refdecomentario"/>
        </w:rPr>
        <w:annotationRef/>
      </w:r>
      <w:r>
        <w:rPr>
          <w:rStyle w:val="Refdecomentario"/>
        </w:rPr>
        <w:annotationRef/>
      </w:r>
      <w:r w:rsidRPr="004E5926">
        <w:rPr>
          <w:lang w:val="en-US"/>
        </w:rPr>
        <w:t xml:space="preserve">"The Italian fuel sector The structure of the Italian fuel sector is similar to that of many Western countries: a few big vertically integrated oil companies control the entire production process, from the extraction of oil to the sale of the fuel at the pump.5 According to Unione Petrolifera (2011), the overall refining capacity, approximately 107 million tonnes in 2010, is guaranteed by 16 plants, with a utilization rate of about 84%. Oil extraction capacity on the national territory is generally poor. In 2010, total imports were 77.9 million tonnes, and Libya is the largest supplier (16.4 million tonnes). At the retail level, most of the branded stations are company-owned (i.e. thefirms are vertically-integrated with the parent brand), while a few are operated by an independent dealer. Branded stations compete against a few independent unbranded retailers (also known as'white pumps'). Such independent dealers often charge lower prices than branded stations (about 10-11 cents per liter). In Italy, white pumps cover less than 10% of the national market, while, in other European countries (the UK, Germany, and, in particular, France), they are more prevalent, covering over half of the retail market (Ravazzoni, 2010). This aspect provides an unusual characteristic to the Italian fuel sector when compared with other EU Countries, making it less competitive in relative terms. Other unfavorable characteristics of the Italian fuel market include the relative abundance of gas stations, low average supply per point of sale, the limited presence of self-service, and the limited presence of non-oil activities (Table 1).6 Recently, for environmental reasons, as well as to promote the spread of new fuel types, national and regional laws have forced entrant stations to supply LPG (propane). This measure has slightly reduced the proliferation of retail points, but has made it more difficult for small independent operators to enter the market. The impact on the market efficiency of this intervention is, therefore, ambiguous. Retail prices are a function of two components: the industrial component, and thefiscal component. The industrial component is represented by the costs of crude oil extraction or purchase, refinement, storage, transportation, and retail sale. Thefiscal component consists of an excise and a value-added tax applied to both the industrial component and the excise. In the last 15 years, Italian retail fuel prices have been in line with the price charged in the other European countries, although the weight of the two components has been quite different. In Italy, the industrial component is€0.722 for gasoline and€0.699 for diesel, and thefiscal component is€0.804 for gasoline and€0.613 for diesel (May 2011). Germany, France and the UK have higherfiscal components and significantly lower industrial ones, as shown by Table 2. The higher industrial component (especially for gasoline) is often interpreted as a lower efficiency of the Italian fuel market than in comparator European countries. It has also been argued that large industrial costs in Italy must be attributable to the morphology of the country, which requires a high number of gas stations to be adequately covered. This explanation is, however, not fully convincing. Because of its geography, Italy may need a larger number of points of sale to cover less accessible areas (i.e. the mountain areas). However, the observed spread of the stations over the territory does not seem to follow this logic. Indeed, the plains tend to have too dense coverage, while the mountain areas are poorly covered. Alternative explanations can have a different direction of the causal implication, i.e. because competition is notfierce there is room for a higher number of competitors. As afinal remark, it is worth noting that in Italy (as in most other EU Countries) the price of diesel is lower than that of gasoline.7 According to the Ministry of Economic Development, the lower cost of diesel has, therefore, induced drivers to reduce their gasoline demand from 16,070 tonnes in 2002 to 9982 tonnes in 2010 (about−38% in 8 years), whereas in the same period the demand for diesel increased from 21,511 tonnes to 25,272 (about +15% in the same time interval). Despite the higher prices at the pump for gasoline, the two fuels nevertheless show a very close time trend." </w:t>
      </w:r>
      <w:r w:rsidRPr="004E5926">
        <w:t>(Alderighi-Baudino 2015:35)</w:t>
      </w:r>
    </w:p>
    <w:p w14:paraId="649D0B92" w14:textId="77D1DCA4" w:rsidR="002215E6" w:rsidRDefault="002215E6">
      <w:pPr>
        <w:pStyle w:val="Textocomentario"/>
      </w:pPr>
    </w:p>
  </w:comment>
  <w:comment w:id="13" w:author="Diego Uriarte" w:date="2019-04-07T22:10:00Z" w:initials="DUC">
    <w:p w14:paraId="7138ECCC" w14:textId="53695F56" w:rsidR="002215E6" w:rsidRDefault="002215E6">
      <w:pPr>
        <w:pStyle w:val="Textocomentario"/>
      </w:pPr>
      <w:r>
        <w:rPr>
          <w:rStyle w:val="Refdecomentario"/>
        </w:rPr>
        <w:annotationRef/>
      </w:r>
      <w:r>
        <w:t>Consultar a karin sobre esto</w:t>
      </w:r>
    </w:p>
  </w:comment>
  <w:comment w:id="14" w:author="Diego Uriarte" w:date="2019-04-09T17:35:00Z" w:initials="DUC">
    <w:p w14:paraId="4152D1E1" w14:textId="465318B6" w:rsidR="002215E6" w:rsidRDefault="002215E6">
      <w:pPr>
        <w:pStyle w:val="Textocomentario"/>
      </w:pPr>
      <w:r>
        <w:rPr>
          <w:rStyle w:val="Refdecomentario"/>
        </w:rPr>
        <w:annotationRef/>
      </w:r>
      <w:r>
        <w:rPr>
          <w:noProof/>
          <w:lang w:val="en-US"/>
        </w:rPr>
        <w:drawing>
          <wp:inline distT="0" distB="0" distL="0" distR="0" wp14:anchorId="7CE7D063" wp14:editId="643250BC">
            <wp:extent cx="4695238" cy="27714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695238" cy="2771429"/>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C2DDA6" w15:done="0"/>
  <w15:commentEx w15:paraId="011A51CC" w15:done="0"/>
  <w15:commentEx w15:paraId="69C0C05F" w15:done="0"/>
  <w15:commentEx w15:paraId="49E8B1D4" w15:done="0"/>
  <w15:commentEx w15:paraId="34096371" w15:done="0"/>
  <w15:commentEx w15:paraId="649D0B92" w15:done="0"/>
  <w15:commentEx w15:paraId="7138ECCC" w15:done="0"/>
  <w15:commentEx w15:paraId="4152D1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76038" w14:textId="77777777" w:rsidR="002757AF" w:rsidRDefault="002757AF" w:rsidP="00F57A1B">
      <w:r>
        <w:separator/>
      </w:r>
    </w:p>
  </w:endnote>
  <w:endnote w:type="continuationSeparator" w:id="0">
    <w:p w14:paraId="0D6C87AA" w14:textId="77777777" w:rsidR="002757AF" w:rsidRDefault="002757AF"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973C4" w14:textId="77777777" w:rsidR="002757AF" w:rsidRDefault="002757AF" w:rsidP="00F57A1B">
      <w:r>
        <w:separator/>
      </w:r>
    </w:p>
  </w:footnote>
  <w:footnote w:type="continuationSeparator" w:id="0">
    <w:p w14:paraId="2C2EBD0B" w14:textId="77777777" w:rsidR="002757AF" w:rsidRDefault="002757AF" w:rsidP="00F57A1B">
      <w:r>
        <w:continuationSeparator/>
      </w:r>
    </w:p>
  </w:footnote>
  <w:footnote w:id="1">
    <w:p w14:paraId="17E0C81E" w14:textId="2F2E665B" w:rsidR="002215E6" w:rsidRDefault="002215E6"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7BA666D7" w14:textId="7370AAB3" w:rsidR="002215E6" w:rsidRDefault="002215E6">
      <w:pPr>
        <w:pStyle w:val="Textonotapie"/>
      </w:pPr>
      <w:r>
        <w:rPr>
          <w:rStyle w:val="Refdenotaalpie"/>
        </w:rPr>
        <w:footnoteRef/>
      </w:r>
      <w:r>
        <w:t xml:space="preserve"> </w:t>
      </w:r>
      <w:r w:rsidRPr="005526A5">
        <w:rPr>
          <w:highlight w:val="yellow"/>
        </w:rPr>
        <w:t>Comentar sobre porcentajes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61ADCED" w:rsidR="002215E6" w:rsidRDefault="002215E6">
        <w:pPr>
          <w:pStyle w:val="Encabezado"/>
          <w:jc w:val="right"/>
        </w:pPr>
        <w:r>
          <w:fldChar w:fldCharType="begin"/>
        </w:r>
        <w:r>
          <w:instrText>PAGE   \* MERGEFORMAT</w:instrText>
        </w:r>
        <w:r>
          <w:fldChar w:fldCharType="separate"/>
        </w:r>
        <w:r w:rsidR="003D7632">
          <w:rPr>
            <w:noProof/>
          </w:rPr>
          <w:t>13</w:t>
        </w:r>
        <w:r>
          <w:fldChar w:fldCharType="end"/>
        </w:r>
      </w:p>
    </w:sdtContent>
  </w:sdt>
  <w:p w14:paraId="48712C0F" w14:textId="77777777" w:rsidR="002215E6" w:rsidRDefault="002215E6"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4424C"/>
    <w:rsid w:val="0006185D"/>
    <w:rsid w:val="00067D45"/>
    <w:rsid w:val="00091768"/>
    <w:rsid w:val="000B0CED"/>
    <w:rsid w:val="000B68B8"/>
    <w:rsid w:val="000D15A3"/>
    <w:rsid w:val="000E5223"/>
    <w:rsid w:val="00103A41"/>
    <w:rsid w:val="00105ABA"/>
    <w:rsid w:val="001162E9"/>
    <w:rsid w:val="00130F8F"/>
    <w:rsid w:val="00170A3D"/>
    <w:rsid w:val="00173517"/>
    <w:rsid w:val="00175C54"/>
    <w:rsid w:val="00180658"/>
    <w:rsid w:val="00197033"/>
    <w:rsid w:val="001B67D3"/>
    <w:rsid w:val="001D7AC0"/>
    <w:rsid w:val="001E55B1"/>
    <w:rsid w:val="00213DE0"/>
    <w:rsid w:val="002215C9"/>
    <w:rsid w:val="002215E6"/>
    <w:rsid w:val="002423DB"/>
    <w:rsid w:val="002757AF"/>
    <w:rsid w:val="002C12C7"/>
    <w:rsid w:val="002D26B3"/>
    <w:rsid w:val="00314D2F"/>
    <w:rsid w:val="00333888"/>
    <w:rsid w:val="00374199"/>
    <w:rsid w:val="003A5534"/>
    <w:rsid w:val="003D593A"/>
    <w:rsid w:val="003D7632"/>
    <w:rsid w:val="00423B86"/>
    <w:rsid w:val="00445710"/>
    <w:rsid w:val="004762C5"/>
    <w:rsid w:val="00484455"/>
    <w:rsid w:val="00497B45"/>
    <w:rsid w:val="004C4ACE"/>
    <w:rsid w:val="004C7F43"/>
    <w:rsid w:val="004E229A"/>
    <w:rsid w:val="004E5926"/>
    <w:rsid w:val="004F75F4"/>
    <w:rsid w:val="005104A3"/>
    <w:rsid w:val="00513B65"/>
    <w:rsid w:val="00525E80"/>
    <w:rsid w:val="005470C8"/>
    <w:rsid w:val="005526A5"/>
    <w:rsid w:val="0059570C"/>
    <w:rsid w:val="006227D3"/>
    <w:rsid w:val="006507EA"/>
    <w:rsid w:val="00662EB4"/>
    <w:rsid w:val="006707EB"/>
    <w:rsid w:val="006A62C8"/>
    <w:rsid w:val="006C1D5B"/>
    <w:rsid w:val="006C4AD8"/>
    <w:rsid w:val="006C6160"/>
    <w:rsid w:val="006D7A32"/>
    <w:rsid w:val="007152F3"/>
    <w:rsid w:val="0072529F"/>
    <w:rsid w:val="007A3BA0"/>
    <w:rsid w:val="007B4F71"/>
    <w:rsid w:val="00835398"/>
    <w:rsid w:val="00846295"/>
    <w:rsid w:val="00867976"/>
    <w:rsid w:val="008B699D"/>
    <w:rsid w:val="008D701F"/>
    <w:rsid w:val="008E2A06"/>
    <w:rsid w:val="00901A04"/>
    <w:rsid w:val="00924A41"/>
    <w:rsid w:val="00944BE0"/>
    <w:rsid w:val="009773EE"/>
    <w:rsid w:val="009A1D02"/>
    <w:rsid w:val="009A43D8"/>
    <w:rsid w:val="009B5FE5"/>
    <w:rsid w:val="009C691F"/>
    <w:rsid w:val="009D4F3E"/>
    <w:rsid w:val="00A04D30"/>
    <w:rsid w:val="00A55014"/>
    <w:rsid w:val="00A622D4"/>
    <w:rsid w:val="00A91D92"/>
    <w:rsid w:val="00AA059B"/>
    <w:rsid w:val="00AA3912"/>
    <w:rsid w:val="00AD5B83"/>
    <w:rsid w:val="00AE7D0B"/>
    <w:rsid w:val="00AF6545"/>
    <w:rsid w:val="00B17F3B"/>
    <w:rsid w:val="00B55601"/>
    <w:rsid w:val="00B714F9"/>
    <w:rsid w:val="00C5594F"/>
    <w:rsid w:val="00C72315"/>
    <w:rsid w:val="00C8650E"/>
    <w:rsid w:val="00CA34B5"/>
    <w:rsid w:val="00CB4A95"/>
    <w:rsid w:val="00CB4D1B"/>
    <w:rsid w:val="00CD64C6"/>
    <w:rsid w:val="00CF2550"/>
    <w:rsid w:val="00CF3910"/>
    <w:rsid w:val="00D26D6B"/>
    <w:rsid w:val="00D466ED"/>
    <w:rsid w:val="00D513A2"/>
    <w:rsid w:val="00D61883"/>
    <w:rsid w:val="00D86FD6"/>
    <w:rsid w:val="00D96538"/>
    <w:rsid w:val="00DA58E5"/>
    <w:rsid w:val="00DB36E8"/>
    <w:rsid w:val="00DE27ED"/>
    <w:rsid w:val="00E53480"/>
    <w:rsid w:val="00E66211"/>
    <w:rsid w:val="00ED072A"/>
    <w:rsid w:val="00ED33D3"/>
    <w:rsid w:val="00F5278E"/>
    <w:rsid w:val="00F55691"/>
    <w:rsid w:val="00F57A1B"/>
    <w:rsid w:val="00F7414C"/>
    <w:rsid w:val="00FA2CF8"/>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1B"/>
    <w:pPr>
      <w:spacing w:after="480" w:line="360" w:lineRule="auto"/>
      <w:jc w:val="both"/>
    </w:pPr>
    <w:rPr>
      <w:rFonts w:eastAsia="Times New Roman" w:cs="Times New Roman"/>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spacing w:after="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semiHidden/>
    <w:unhideWhenUsed/>
    <w:qFormat/>
    <w:rsid w:val="00F7414C"/>
    <w:pPr>
      <w:spacing w:after="200" w:line="240" w:lineRule="auto"/>
    </w:pPr>
    <w:rPr>
      <w:i/>
      <w:iCs/>
      <w:color w:val="1F497D" w:themeColor="text2"/>
      <w:sz w:val="18"/>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EC"/>
    <w:rsid w:val="00B3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739C-5155-42BC-A1B3-C46F33A7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21</Pages>
  <Words>10372</Words>
  <Characters>59124</Characters>
  <Application>Microsoft Office Word</Application>
  <DocSecurity>0</DocSecurity>
  <Lines>492</Lines>
  <Paragraphs>138</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45</cp:revision>
  <dcterms:created xsi:type="dcterms:W3CDTF">2019-03-30T14:01:00Z</dcterms:created>
  <dcterms:modified xsi:type="dcterms:W3CDTF">2019-04-10T03:18:00Z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id="kML8xmnp"/&gt;&lt;style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