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CE14A" w14:textId="77777777" w:rsidR="00CD64C6" w:rsidRDefault="00CD64C6">
      <w:pPr>
        <w:spacing w:after="200" w:line="276" w:lineRule="auto"/>
        <w:jc w:val="left"/>
      </w:pPr>
      <w:r>
        <w:t>CARATULA</w:t>
      </w:r>
    </w:p>
    <w:p w14:paraId="20F60047" w14:textId="5F82C251" w:rsidR="00CD64C6" w:rsidRDefault="00CD64C6" w:rsidP="00E50C32">
      <w:pPr>
        <w:spacing w:after="200" w:line="276" w:lineRule="auto"/>
        <w:jc w:val="left"/>
      </w:pPr>
      <w:r>
        <w:br w:type="page"/>
      </w:r>
    </w:p>
    <w:p w14:paraId="3D1333CF" w14:textId="77777777" w:rsidR="00CD64C6" w:rsidRDefault="00CD64C6">
      <w:pPr>
        <w:spacing w:after="200" w:line="276" w:lineRule="auto"/>
        <w:jc w:val="left"/>
      </w:pPr>
      <w:r>
        <w:lastRenderedPageBreak/>
        <w:t>DEDICATORIA</w:t>
      </w:r>
    </w:p>
    <w:p w14:paraId="2C031199" w14:textId="77777777" w:rsidR="00CD64C6" w:rsidRDefault="00CD64C6">
      <w:pPr>
        <w:spacing w:after="200" w:line="276" w:lineRule="auto"/>
        <w:jc w:val="left"/>
      </w:pPr>
      <w:r>
        <w:br w:type="page"/>
      </w:r>
    </w:p>
    <w:p w14:paraId="2873C896" w14:textId="77777777" w:rsidR="00CD64C6" w:rsidRDefault="00CD64C6">
      <w:pPr>
        <w:spacing w:after="200" w:line="276" w:lineRule="auto"/>
        <w:jc w:val="left"/>
      </w:pPr>
      <w:r>
        <w:lastRenderedPageBreak/>
        <w:t>INDICE</w:t>
      </w:r>
    </w:p>
    <w:p w14:paraId="2599185F" w14:textId="77777777" w:rsidR="00CD64C6" w:rsidRDefault="00CD64C6">
      <w:pPr>
        <w:spacing w:after="200" w:line="276" w:lineRule="auto"/>
        <w:jc w:val="left"/>
      </w:pPr>
      <w:r>
        <w:br w:type="page"/>
      </w:r>
    </w:p>
    <w:p w14:paraId="6A0A5870" w14:textId="77777777" w:rsidR="00CD64C6" w:rsidRDefault="00CD64C6">
      <w:pPr>
        <w:spacing w:after="200" w:line="276" w:lineRule="auto"/>
        <w:jc w:val="left"/>
      </w:pPr>
      <w:r>
        <w:lastRenderedPageBreak/>
        <w:t>INDICE DE TABLAS</w:t>
      </w:r>
    </w:p>
    <w:p w14:paraId="6BCDD342" w14:textId="77777777" w:rsidR="00CD64C6" w:rsidRDefault="00CD64C6">
      <w:pPr>
        <w:spacing w:after="200" w:line="276" w:lineRule="auto"/>
        <w:jc w:val="left"/>
      </w:pPr>
      <w:r>
        <w:br w:type="page"/>
      </w:r>
    </w:p>
    <w:p w14:paraId="71F4A8E3" w14:textId="77777777" w:rsidR="00CD64C6" w:rsidRDefault="00CD64C6">
      <w:pPr>
        <w:spacing w:after="200" w:line="276" w:lineRule="auto"/>
        <w:jc w:val="left"/>
      </w:pPr>
      <w:r>
        <w:lastRenderedPageBreak/>
        <w:t>INDICE DE GRAFICOS</w:t>
      </w:r>
    </w:p>
    <w:p w14:paraId="668B6973" w14:textId="77777777" w:rsidR="00CD64C6" w:rsidRDefault="00CD64C6">
      <w:pPr>
        <w:spacing w:after="200" w:line="276" w:lineRule="auto"/>
        <w:jc w:val="left"/>
      </w:pPr>
      <w:r>
        <w:br w:type="page"/>
      </w:r>
    </w:p>
    <w:p w14:paraId="6CB3E91E" w14:textId="54B9C6E6" w:rsidR="002215E6" w:rsidRPr="002C12C7" w:rsidRDefault="00A91D92" w:rsidP="000D15A3">
      <w:pPr>
        <w:pStyle w:val="Ttulo1"/>
      </w:pPr>
      <w:r w:rsidRPr="002C12C7">
        <w:lastRenderedPageBreak/>
        <w:t>Introducción</w:t>
      </w:r>
    </w:p>
    <w:p w14:paraId="7587CDA5" w14:textId="4CBA3EF4" w:rsidR="00170A3D" w:rsidRDefault="005470C8" w:rsidP="00F57A1B">
      <w:commentRangeStart w:id="0"/>
      <w:r>
        <w:t>Los</w:t>
      </w:r>
      <w:commentRangeEnd w:id="0"/>
      <w:r w:rsidR="003D593A">
        <w:rPr>
          <w:rStyle w:val="Refdecomentario"/>
        </w:rPr>
        <w:commentReference w:id="0"/>
      </w:r>
      <w:r>
        <w:t xml:space="preserve">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w:t>
      </w:r>
      <w:commentRangeStart w:id="1"/>
      <w:r w:rsidR="007B4F71">
        <w:t>preferencias</w:t>
      </w:r>
      <w:commentRangeEnd w:id="1"/>
      <w:r w:rsidR="00513B65">
        <w:rPr>
          <w:rStyle w:val="Refdecomentario"/>
        </w:rPr>
        <w:commentReference w:id="1"/>
      </w:r>
      <w:r w:rsidR="007B4F71">
        <w:t xml:space="preserve">. </w:t>
      </w:r>
      <w:commentRangeStart w:id="2"/>
      <w:r w:rsidR="007B4F71">
        <w:t xml:space="preserve">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commentRangeEnd w:id="2"/>
      <w:r w:rsidR="001B1B76">
        <w:t xml:space="preserve"> </w:t>
      </w:r>
      <w:r w:rsidR="007B4F71">
        <w:rPr>
          <w:rStyle w:val="Refdecomentario"/>
        </w:rPr>
        <w:commentReference w:id="2"/>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Aurazo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 xml:space="preserve">Bajo </w:t>
      </w:r>
      <w:commentRangeStart w:id="3"/>
      <w:r w:rsidRPr="00662EB4">
        <w:t xml:space="preserve">esta </w:t>
      </w:r>
      <w:commentRangeEnd w:id="3"/>
      <w:r w:rsidR="00170A3D">
        <w:rPr>
          <w:rStyle w:val="Refdecomentario"/>
        </w:rPr>
        <w:commentReference w:id="3"/>
      </w:r>
      <w:r w:rsidRPr="00662EB4">
        <w:t>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4" w:name="_Ref5724450"/>
      <w:r w:rsidRPr="002C12C7">
        <w:lastRenderedPageBreak/>
        <w:t>Marco</w:t>
      </w:r>
      <w:r>
        <w:t xml:space="preserve"> Teórico</w:t>
      </w:r>
      <w:bookmarkEnd w:id="4"/>
    </w:p>
    <w:p w14:paraId="535D3837" w14:textId="4FE52810" w:rsidR="00FE424F" w:rsidRPr="002C12C7" w:rsidRDefault="00FE424F" w:rsidP="002C12C7">
      <w:pPr>
        <w:pStyle w:val="Ttulo2"/>
      </w:pPr>
      <w:r w:rsidRPr="002C12C7">
        <w:t>Generalidades sobre el mercado de combustibles líquidos</w:t>
      </w:r>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66F55489" w14:textId="63DD7E07" w:rsidR="008D701F" w:rsidRDefault="00796456" w:rsidP="00F57A1B">
      <w:pPr>
        <w:rPr>
          <w:noProof/>
        </w:rPr>
      </w:pPr>
      <w:r w:rsidRPr="00796456">
        <w:rPr>
          <w:noProof/>
        </w:rPr>
        <w:t xml:space="preserve"> </w:t>
      </w:r>
      <w:r>
        <w:rPr>
          <w:noProof/>
          <w:lang w:val="en-US"/>
        </w:rPr>
        <mc:AlternateContent>
          <mc:Choice Requires="wps">
            <w:drawing>
              <wp:inline distT="0" distB="0" distL="0" distR="0" wp14:anchorId="039CA514" wp14:editId="14D07861">
                <wp:extent cx="3899002" cy="2289658"/>
                <wp:effectExtent l="0" t="0" r="25400" b="158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9002" cy="2289658"/>
                        </a:xfrm>
                        <a:prstGeom prst="rect">
                          <a:avLst/>
                        </a:prstGeom>
                        <a:solidFill>
                          <a:srgbClr val="FFFFFF"/>
                        </a:solidFill>
                        <a:ln w="9525">
                          <a:solidFill>
                            <a:srgbClr val="000000"/>
                          </a:solidFill>
                          <a:miter lim="800000"/>
                          <a:headEnd/>
                          <a:tailEnd/>
                        </a:ln>
                      </wps:spPr>
                      <wps:txbx>
                        <w:txbxContent>
                          <w:p w14:paraId="65D72F39" w14:textId="77777777" w:rsidR="000E1B51" w:rsidRDefault="000E1B51" w:rsidP="00796456">
                            <w:pPr>
                              <w:jc w:val="center"/>
                            </w:pPr>
                            <w:r>
                              <w:t>IMAGEN SOBRE LA CADENA DE VALOR DE LOS HC, BUSCAR DE DIPLOMADO</w:t>
                            </w:r>
                          </w:p>
                        </w:txbxContent>
                      </wps:txbx>
                      <wps:bodyPr rot="0" vert="horz" wrap="square" lIns="91440" tIns="45720" rIns="91440" bIns="45720" anchor="t" anchorCtr="0">
                        <a:noAutofit/>
                      </wps:bodyPr>
                    </wps:wsp>
                  </a:graphicData>
                </a:graphic>
              </wp:inline>
            </w:drawing>
          </mc:Choice>
          <mc:Fallback>
            <w:pict>
              <v:shapetype w14:anchorId="039CA514" id="_x0000_t202" coordsize="21600,21600" o:spt="202" path="m,l,21600r21600,l21600,xe">
                <v:stroke joinstyle="miter"/>
                <v:path gradientshapeok="t" o:connecttype="rect"/>
              </v:shapetype>
              <v:shape id="Cuadro de texto 2" o:spid="_x0000_s1026" type="#_x0000_t202" style="width:307pt;height:1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">
                <v:textbox>
                  <w:txbxContent>
                    <w:p w14:paraId="65D72F39" w14:textId="77777777" w:rsidR="000E1B51" w:rsidRDefault="000E1B51" w:rsidP="00796456">
                      <w:pPr>
                        <w:jc w:val="center"/>
                      </w:pPr>
                      <w:r>
                        <w:t>IMAGEN SOBRE LA CADENA DE VALOR DE LOS HC, BUSCAR DE DIPLOMADO</w:t>
                      </w:r>
                    </w:p>
                  </w:txbxContent>
                </v:textbox>
                <w10:anchorlock/>
              </v:shape>
            </w:pict>
          </mc:Fallback>
        </mc:AlternateContent>
      </w:r>
    </w:p>
    <w:p w14:paraId="56A4211C" w14:textId="4C8F5A93" w:rsidR="000271B0" w:rsidRDefault="00FE424F" w:rsidP="00F57A1B">
      <w:r>
        <w:t xml:space="preserve">Los combustibles líquidos se producen en complejos industriales a partir del crudo de petróleo. </w:t>
      </w:r>
      <w:r w:rsidR="008D701F">
        <w:t xml:space="preserve">Debido a ser un </w:t>
      </w:r>
      <w:r w:rsidR="008D701F">
        <w:rPr>
          <w:i/>
        </w:rPr>
        <w:t xml:space="preserve">commodity,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2571994C" w14:textId="14F8DA02" w:rsidR="00796456" w:rsidRDefault="00796456" w:rsidP="00F57A1B"/>
    <w:p w14:paraId="29D049F5" w14:textId="7290A4DD" w:rsidR="00796456" w:rsidRDefault="00796456" w:rsidP="00F57A1B"/>
    <w:p w14:paraId="32119CAF" w14:textId="74AEF229" w:rsidR="00796456" w:rsidRDefault="00796456" w:rsidP="00F57A1B"/>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5" w:name="_Ref5566273"/>
      <w:r w:rsidRPr="00FA2CF8">
        <w:t xml:space="preserve">Revisión de la </w:t>
      </w:r>
      <w:r w:rsidRPr="002C12C7">
        <w:t>literatura</w:t>
      </w:r>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r w:rsidR="00D466ED">
        <w:t xml:space="preserve">Clemenz y Gugler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Contín-Pilart</w:t>
      </w:r>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Clemenz y Gugler realiza estimaciones a nivel municipal para determinar que mayor número de estaciones por municipalidad reduce los precios promedio de combustible. </w:t>
      </w:r>
    </w:p>
    <w:p w14:paraId="64852463" w14:textId="7B55AD68" w:rsidR="00FA2CF8" w:rsidRDefault="00FA2CF8" w:rsidP="00F57A1B">
      <w:r w:rsidRPr="00FA2CF8">
        <w:lastRenderedPageBreak/>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r w:rsidRPr="00FA2CF8">
        <w:rPr>
          <w:rFonts w:ascii="Times New Roman" w:hAnsi="Times New Roman"/>
        </w:rPr>
        <w:t>Alderighi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interespacial.</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Slade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Houde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Manuszak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Houde encuentra que los precios se encuentran afectados por la distribución de trabajadores en su traslado a sus centros laborales. Por otra parte, Manuszak halla que las fusiones entre mayoristas de combustibles permiten que estas extraigan mayores rentas de sus contrapartes minoristas afiliadas, además de beneficiarse en el proceso los mayoristas y minoristas no involucrados en la fusión.</w:t>
      </w:r>
    </w:p>
    <w:p w14:paraId="23CEEC6A" w14:textId="5D42A018" w:rsidR="00FA2CF8" w:rsidRP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Hosken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Weiss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3641835D" w14:textId="1BC9BC45" w:rsidR="00796456" w:rsidRDefault="00B714F9" w:rsidP="00796456">
      <w:pPr>
        <w:pStyle w:val="Ttulo2"/>
      </w:pPr>
      <w:r w:rsidRPr="00CD64C6">
        <w:lastRenderedPageBreak/>
        <w:t>Modelos</w:t>
      </w:r>
      <w:r>
        <w:t xml:space="preserve"> de econometría espacial</w:t>
      </w:r>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6C037F"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63713B75" w14:textId="2B562A7A" w:rsidR="00137AA9" w:rsidRPr="008A5B92" w:rsidRDefault="00137AA9" w:rsidP="00796456">
      <w:r>
        <w:rPr>
          <w:noProof/>
          <w:lang w:val="en-US"/>
        </w:rPr>
        <mc:AlternateContent>
          <mc:Choice Requires="wps">
            <w:drawing>
              <wp:anchor distT="0" distB="0" distL="114300" distR="114300" simplePos="0" relativeHeight="251668480" behindDoc="0" locked="0" layoutInCell="1" allowOverlap="1" wp14:anchorId="23A85387" wp14:editId="637D6E9E">
                <wp:simplePos x="0" y="0"/>
                <wp:positionH relativeFrom="column">
                  <wp:posOffset>965890</wp:posOffset>
                </wp:positionH>
                <wp:positionV relativeFrom="paragraph">
                  <wp:posOffset>471141</wp:posOffset>
                </wp:positionV>
                <wp:extent cx="4269851" cy="2441051"/>
                <wp:effectExtent l="0" t="0" r="16510" b="16510"/>
                <wp:wrapNone/>
                <wp:docPr id="5" name="Cuadro de texto 5"/>
                <wp:cNvGraphicFramePr/>
                <a:graphic xmlns:a="http://schemas.openxmlformats.org/drawingml/2006/main">
                  <a:graphicData uri="http://schemas.microsoft.com/office/word/2010/wordprocessingShape">
                    <wps:wsp>
                      <wps:cNvSpPr txBox="1"/>
                      <wps:spPr>
                        <a:xfrm>
                          <a:off x="0" y="0"/>
                          <a:ext cx="4269851" cy="2441051"/>
                        </a:xfrm>
                        <a:prstGeom prst="rect">
                          <a:avLst/>
                        </a:prstGeom>
                        <a:solidFill>
                          <a:schemeClr val="lt1"/>
                        </a:solidFill>
                        <a:ln w="6350">
                          <a:solidFill>
                            <a:prstClr val="black"/>
                          </a:solidFill>
                        </a:ln>
                      </wps:spPr>
                      <wps:txbx>
                        <w:txbxContent>
                          <w:p w14:paraId="71F47DF5" w14:textId="77777777" w:rsidR="000E1B51" w:rsidRDefault="000E1B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85387" id="Cuadro de texto 5" o:spid="_x0000_s1027" type="#_x0000_t202" style="position:absolute;left:0;text-align:left;margin-left:76.05pt;margin-top:37.1pt;width:336.2pt;height:19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" fillcolor="white [3201]" strokeweight=".5pt">
                <v:textbox>
                  <w:txbxContent>
                    <w:p w14:paraId="71F47DF5" w14:textId="77777777" w:rsidR="000E1B51" w:rsidRDefault="000E1B51"/>
                  </w:txbxContent>
                </v:textbox>
              </v:shape>
            </w:pict>
          </mc:Fallback>
        </mc:AlternateContent>
      </w:r>
      <w:r>
        <w:t xml:space="preserve">De manera práctica, veamos los precios promedios por distrito en Lima y como se distribuyen estos promedios </w:t>
      </w:r>
      <w:commentRangeStart w:id="6"/>
      <w:r>
        <w:t>espacialmente</w:t>
      </w:r>
      <w:commentRangeEnd w:id="6"/>
      <w:r>
        <w:rPr>
          <w:rStyle w:val="Refdecomentario"/>
        </w:rPr>
        <w:commentReference w:id="6"/>
      </w:r>
      <w:r>
        <w:t>.</w:t>
      </w:r>
    </w:p>
    <w:p w14:paraId="25486887" w14:textId="765FA8C7" w:rsidR="00796456" w:rsidRDefault="008A5B92" w:rsidP="00796456">
      <w:r>
        <w:t xml:space="preserve"> </w:t>
      </w:r>
    </w:p>
    <w:p w14:paraId="02CFF212" w14:textId="0C220E1A" w:rsidR="00796456" w:rsidRDefault="00796456" w:rsidP="00796456"/>
    <w:p w14:paraId="1183BDE9" w14:textId="29067AC7" w:rsidR="00137AA9" w:rsidRDefault="00137AA9" w:rsidP="00796456"/>
    <w:p w14:paraId="78A0FC2E" w14:textId="77777777" w:rsidR="00137AA9" w:rsidRDefault="00137AA9" w:rsidP="00796456"/>
    <w:p w14:paraId="14CF6DA9" w14:textId="6FE0A536" w:rsidR="004C4ACE" w:rsidRPr="002C12C7" w:rsidRDefault="004C4ACE" w:rsidP="002C12C7">
      <w:pPr>
        <w:pStyle w:val="Ttulo3"/>
      </w:pPr>
      <w:r w:rsidRPr="002C12C7">
        <w:t>Modelo general de Manski</w:t>
      </w:r>
    </w:p>
    <w:p w14:paraId="06A4C3EE" w14:textId="02EE8B43"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t xml:space="preserve"> y </w:t>
      </w:r>
      <w:r w:rsidRPr="0004424C">
        <w:rPr>
          <w:highlight w:val="yellow"/>
        </w:rPr>
        <w:t>…</w:t>
      </w:r>
    </w:p>
    <w:p w14:paraId="5DC0005C" w14:textId="6B3914CC" w:rsidR="0004424C" w:rsidRDefault="0004424C" w:rsidP="0004424C">
      <w:r>
        <w:lastRenderedPageBreak/>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7" w:name="_Ref5724351"/>
      <w:r>
        <w:t>Modelos derivados del modelo de Manski</w:t>
      </w:r>
      <w:bookmarkEnd w:id="7"/>
    </w:p>
    <w:p w14:paraId="73F0EF7B" w14:textId="4AF360AB"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F2093F" w:rsidRPr="003D7632">
        <w:t xml:space="preserve">Gráfico </w:t>
      </w:r>
      <w:r w:rsidR="00F2093F">
        <w:rPr>
          <w:noProof/>
        </w:rPr>
        <w:t>2</w:t>
      </w:r>
      <w:r w:rsidR="00660EDE" w:rsidRPr="00660EDE">
        <w:fldChar w:fldCharType="end"/>
      </w:r>
      <w:r w:rsidR="00660EDE">
        <w:t>.</w:t>
      </w:r>
    </w:p>
    <w:p w14:paraId="7819B231" w14:textId="7AB2729A" w:rsidR="007C4FE0" w:rsidRPr="00660EDE" w:rsidRDefault="007C4FE0" w:rsidP="007C4FE0">
      <w:pPr>
        <w:pStyle w:val="Descripcin"/>
        <w:keepNext/>
        <w:rPr>
          <w:i/>
          <w:color w:val="000000" w:themeColor="text1"/>
        </w:rPr>
      </w:pPr>
      <w:bookmarkStart w:id="8" w:name="_Ref6341414"/>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F2093F">
        <w:rPr>
          <w:i/>
          <w:noProof/>
          <w:color w:val="000000" w:themeColor="text1"/>
        </w:rPr>
        <w:t>1</w:t>
      </w:r>
      <w:r w:rsidRPr="00660EDE">
        <w:rPr>
          <w:i/>
          <w:color w:val="000000" w:themeColor="text1"/>
        </w:rPr>
        <w:fldChar w:fldCharType="end"/>
      </w:r>
      <w:bookmarkEnd w:id="8"/>
      <w:r w:rsidR="00660EDE" w:rsidRPr="00660EDE">
        <w:rPr>
          <w:i/>
          <w:color w:val="000000" w:themeColor="text1"/>
        </w:rPr>
        <w:t>: Modelos de dependencia espacial para datos de corte transversal</w:t>
      </w:r>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3B35AC0A">
                <wp:simplePos x="0" y="0"/>
                <wp:positionH relativeFrom="column">
                  <wp:posOffset>3175</wp:posOffset>
                </wp:positionH>
                <wp:positionV relativeFrom="paragraph">
                  <wp:posOffset>3175</wp:posOffset>
                </wp:positionV>
                <wp:extent cx="5692775" cy="3195955"/>
                <wp:effectExtent l="0" t="0" r="22225" b="23495"/>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solidFill>
                            <a:schemeClr val="tx1"/>
                          </a:solid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0E1B51" w:rsidRPr="009E0813" w:rsidRDefault="000E1B5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0E1B51" w:rsidRPr="009E0813" w:rsidRDefault="000E1B5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0E1B51" w:rsidRPr="009E0813" w:rsidRDefault="000E1B51"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8" editas="canvas" style="position:absolute;left:0;text-align:left;margin-left:.25pt;margin-top:.25pt;width:448.25pt;height:251.65pt;z-index:251669504;mso-position-horizontal-relative:text;mso-position-vertical-relative:text"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6927;height:31959;visibility:visible;mso-wrap-style:square" stroked="t" strokecolor="black [3213]">
                  <v:fill o:detectmouseclick="t"/>
                  <v:path o:connecttype="none"/>
                </v:shape>
                <v:rect id="Rectángulo 8" o:spid="_x0000_s1030"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0E1B51" w:rsidRPr="009E0813" w:rsidRDefault="000E1B5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31"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0E1B51" w:rsidRPr="009E0813" w:rsidRDefault="000E1B5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2"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70C0CE37"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3"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4"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5"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6"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7"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DD96BB0"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8"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534DF8A8"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0E1B51" w:rsidRPr="009E0813" w:rsidRDefault="000E1B51" w:rsidP="00660EDE">
                        <w:pPr>
                          <w:spacing w:after="0" w:line="240" w:lineRule="auto"/>
                          <w:jc w:val="center"/>
                          <w:rPr>
                            <w:rFonts w:eastAsiaTheme="minorEastAsia" w:cstheme="minorBidi"/>
                            <w:color w:val="000000" w:themeColor="text1"/>
                            <w:sz w:val="18"/>
                          </w:rPr>
                        </w:pPr>
                      </w:p>
                    </w:txbxContent>
                  </v:textbox>
                </v:rect>
                <v:rect id="Rectángulo 19" o:spid="_x0000_s1039"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0E1B51" w:rsidRPr="009E0813" w:rsidRDefault="000E1B5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0E1B51" w:rsidRPr="009E0813" w:rsidRDefault="000E1B5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40"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41"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 id="Cuadro de texto 22" o:spid="_x0000_s1042"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3"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4"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5"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6"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7"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0E1B51" w:rsidRPr="007C4FE0" w:rsidRDefault="000E1B5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11D02E9A"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0692D83D" w14:textId="77777777" w:rsidR="00944BE0" w:rsidRDefault="00944BE0" w:rsidP="002C12C7">
      <w:pPr>
        <w:pStyle w:val="Ttulo2"/>
      </w:pPr>
      <w:r>
        <w:lastRenderedPageBreak/>
        <w:t xml:space="preserve"> Selección de la matriz de pesos espaciales</w:t>
      </w:r>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0B62BAE7"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F2093F" w:rsidRPr="003D7632">
        <w:t xml:space="preserve">Gráfico </w:t>
      </w:r>
      <w:r w:rsidR="00F2093F">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431B5DDD" w:rsidR="00F7414C" w:rsidRPr="003D7632" w:rsidRDefault="00F7414C" w:rsidP="00F52BE8">
      <w:pPr>
        <w:pStyle w:val="Descripcin"/>
      </w:pPr>
      <w:bookmarkStart w:id="9" w:name="_Ref5740583"/>
      <w:bookmarkStart w:id="10" w:name="_Ref5740577"/>
      <w:r w:rsidRPr="003D7632">
        <w:t xml:space="preserve">Gráfico </w:t>
      </w:r>
      <w:r w:rsidRPr="003D7632">
        <w:fldChar w:fldCharType="begin"/>
      </w:r>
      <w:r w:rsidRPr="003D7632">
        <w:instrText xml:space="preserve"> SEQ Gráfico \* ARABIC </w:instrText>
      </w:r>
      <w:r w:rsidRPr="003D7632">
        <w:fldChar w:fldCharType="separate"/>
      </w:r>
      <w:r w:rsidR="00F2093F">
        <w:rPr>
          <w:noProof/>
        </w:rPr>
        <w:t>2</w:t>
      </w:r>
      <w:r w:rsidRPr="003D7632">
        <w:fldChar w:fldCharType="end"/>
      </w:r>
      <w:bookmarkEnd w:id="9"/>
      <w:r w:rsidRPr="003D7632">
        <w:t xml:space="preserve">. </w:t>
      </w:r>
      <w:bookmarkStart w:id="11" w:name="_Ref5740572"/>
      <w:r w:rsidR="003D7632" w:rsidRPr="003D7632">
        <w:t xml:space="preserve">Construcción de polígonos de Thiessen alrededor </w:t>
      </w:r>
      <w:r w:rsidR="003D7632" w:rsidRPr="00F52BE8">
        <w:t>de</w:t>
      </w:r>
      <w:r w:rsidR="003D7632" w:rsidRPr="003D7632">
        <w:t xml:space="preserve"> 20 observaciones</w:t>
      </w:r>
      <w:bookmarkEnd w:id="10"/>
      <w:bookmarkEnd w:id="11"/>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D51DF01" w:rsidR="005566A4" w:rsidRDefault="003D7632" w:rsidP="003D7632">
      <w:pPr>
        <w:spacing w:after="120" w:line="240" w:lineRule="auto"/>
        <w:jc w:val="left"/>
        <w:rPr>
          <w:sz w:val="18"/>
          <w:szCs w:val="18"/>
        </w:rPr>
      </w:pPr>
      <w:r w:rsidRPr="003D7632">
        <w:rPr>
          <w:sz w:val="18"/>
          <w:szCs w:val="18"/>
        </w:rPr>
        <w:t>Fuente: Elaboración propia, 2019</w:t>
      </w:r>
    </w:p>
    <w:p w14:paraId="0D9B6B45" w14:textId="0F5CE2FA" w:rsidR="00A91D92" w:rsidRDefault="00A91D92" w:rsidP="002C12C7">
      <w:pPr>
        <w:pStyle w:val="Ttulo1"/>
      </w:pPr>
      <w:r>
        <w:lastRenderedPageBreak/>
        <w:t>Mercado de combustibles líquidos en Lima Metropolitana</w:t>
      </w:r>
    </w:p>
    <w:p w14:paraId="7388D270" w14:textId="4E046375" w:rsidR="00AE7D0B" w:rsidRDefault="00AE7D0B" w:rsidP="00AE7D0B">
      <w:commentRangeStart w:id="12"/>
      <w:r>
        <w:t xml:space="preserve">El mercado </w:t>
      </w:r>
      <w:commentRangeEnd w:id="12"/>
      <w:r w:rsidR="00103A41">
        <w:rPr>
          <w:rStyle w:val="Refdecomentario"/>
        </w:rPr>
        <w:commentReference w:id="12"/>
      </w:r>
      <w:r>
        <w:t xml:space="preserve">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2EB206EF" w14:textId="2BAC368C"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4462978F" w14:textId="059DC203" w:rsidR="000B0CED" w:rsidRDefault="000B0CED" w:rsidP="00AE7D0B">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BE2AFD">
        <w:fldChar w:fldCharType="begin"/>
      </w:r>
      <w:r w:rsidR="00BE2AFD" w:rsidRPr="00BE2AFD">
        <w:instrText xml:space="preserve"> REF _Ref6247871 \h </w:instrText>
      </w:r>
      <w:r w:rsidR="00BE2AFD">
        <w:instrText xml:space="preserve"> \* MERGEFORMAT </w:instrText>
      </w:r>
      <w:r w:rsidR="00BE2AFD" w:rsidRPr="00BE2AFD">
        <w:fldChar w:fldCharType="separate"/>
      </w:r>
      <w:r w:rsidR="00F2093F" w:rsidRPr="00F2093F">
        <w:rPr>
          <w:i/>
          <w:color w:val="000000" w:themeColor="text1"/>
        </w:rPr>
        <w:t xml:space="preserve">Gráfico </w:t>
      </w:r>
      <w:r w:rsidR="00F2093F" w:rsidRPr="00F2093F">
        <w:rPr>
          <w:i/>
          <w:noProof/>
          <w:color w:val="000000" w:themeColor="text1"/>
        </w:rPr>
        <w:t>3</w:t>
      </w:r>
      <w:r w:rsidR="00BE2AFD" w:rsidRPr="00BE2AFD">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E11291">
        <w:t xml:space="preserve">Tabla </w:t>
      </w:r>
      <w:r w:rsidR="00E11291">
        <w:rPr>
          <w:noProof/>
        </w:rPr>
        <w:t>2</w:t>
      </w:r>
      <w:r w:rsidR="00E11291">
        <w:fldChar w:fldCharType="end"/>
      </w:r>
      <w:r w:rsidR="00105ABA">
        <w:t>. Este orden se repite si consideramos el número de estaciones abanderadas por cada firma.</w:t>
      </w:r>
    </w:p>
    <w:p w14:paraId="4F772C03" w14:textId="2397206A" w:rsidR="00BE2AFD" w:rsidRPr="00BE2AFD" w:rsidRDefault="00BE2AFD" w:rsidP="00DB477C">
      <w:pPr>
        <w:pStyle w:val="Descripcin"/>
      </w:pPr>
      <w:bookmarkStart w:id="13" w:name="_Ref6247871"/>
      <w:r w:rsidRPr="00BE2AFD">
        <w:lastRenderedPageBreak/>
        <w:t xml:space="preserve">Gráfico </w:t>
      </w:r>
      <w:r w:rsidRPr="00BE2AFD">
        <w:fldChar w:fldCharType="begin"/>
      </w:r>
      <w:r w:rsidRPr="00BE2AFD">
        <w:instrText xml:space="preserve"> SEQ Gráfico \* ARABIC </w:instrText>
      </w:r>
      <w:r w:rsidRPr="00BE2AFD">
        <w:fldChar w:fldCharType="separate"/>
      </w:r>
      <w:r w:rsidR="00F2093F">
        <w:rPr>
          <w:noProof/>
        </w:rPr>
        <w:t>3</w:t>
      </w:r>
      <w:r w:rsidRPr="00BE2AFD">
        <w:fldChar w:fldCharType="end"/>
      </w:r>
      <w:bookmarkEnd w:id="13"/>
      <w:r w:rsidRPr="00BE2AFD">
        <w:t>: Precios promedio por tipo de estación para Diésel y Gasolina de 90 octanos</w:t>
      </w:r>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2234AEA6" w:rsidR="00DB477C" w:rsidRDefault="00BE2AFD" w:rsidP="00DB477C">
      <w:pPr>
        <w:rPr>
          <w:sz w:val="18"/>
        </w:rPr>
      </w:pPr>
      <w:r w:rsidRPr="00BE2AFD">
        <w:rPr>
          <w:sz w:val="18"/>
        </w:rPr>
        <w:t>Fuente: Elaboración propia, 2019</w:t>
      </w:r>
      <w:bookmarkStart w:id="14" w:name="_Ref6249562"/>
    </w:p>
    <w:p w14:paraId="52B47704" w14:textId="10E626F5" w:rsidR="00265C61" w:rsidRDefault="00265C61" w:rsidP="00265C61">
      <w:pPr>
        <w:pStyle w:val="Descripcin"/>
        <w:keepNext/>
      </w:pPr>
      <w:r>
        <w:t xml:space="preserve">Tabla </w:t>
      </w:r>
      <w:r>
        <w:fldChar w:fldCharType="begin"/>
      </w:r>
      <w:r>
        <w:instrText xml:space="preserve"> SEQ Tabla \* ARABIC </w:instrText>
      </w:r>
      <w:r>
        <w:fldChar w:fldCharType="separate"/>
      </w:r>
      <w:r w:rsidR="009A3452">
        <w:rPr>
          <w:noProof/>
        </w:rPr>
        <w:t>1</w:t>
      </w:r>
      <w:r>
        <w:fldChar w:fldCharType="end"/>
      </w:r>
      <w:r>
        <w:t>: Número de estaciones por razón social para Perú y Lima</w:t>
      </w:r>
    </w:p>
    <w:tbl>
      <w:tblPr>
        <w:tblStyle w:val="Tablaconcuadrcula"/>
        <w:tblW w:w="0" w:type="auto"/>
        <w:jc w:val="center"/>
        <w:tblLook w:val="04A0" w:firstRow="1" w:lastRow="0" w:firstColumn="1" w:lastColumn="0" w:noHBand="0" w:noVBand="1"/>
      </w:tblPr>
      <w:tblGrid>
        <w:gridCol w:w="2694"/>
        <w:gridCol w:w="1133"/>
        <w:gridCol w:w="1133"/>
      </w:tblGrid>
      <w:tr w:rsidR="00265C61" w14:paraId="27400B7E" w14:textId="0740B044" w:rsidTr="006C037F">
        <w:trPr>
          <w:jc w:val="center"/>
        </w:trPr>
        <w:tc>
          <w:tcPr>
            <w:tcW w:w="2694" w:type="dxa"/>
          </w:tcPr>
          <w:p w14:paraId="12C95A22" w14:textId="14C325EB" w:rsidR="00265C61" w:rsidRDefault="00265C61" w:rsidP="00DB477C">
            <w:pPr>
              <w:spacing w:after="0" w:line="240" w:lineRule="auto"/>
            </w:pPr>
            <w:r>
              <w:t xml:space="preserve">Razón social </w:t>
            </w:r>
          </w:p>
        </w:tc>
        <w:tc>
          <w:tcPr>
            <w:tcW w:w="1133" w:type="dxa"/>
          </w:tcPr>
          <w:p w14:paraId="51937B21" w14:textId="6CE9597B" w:rsidR="00265C61" w:rsidRDefault="00265C61" w:rsidP="00265C61">
            <w:pPr>
              <w:spacing w:after="0" w:line="240" w:lineRule="auto"/>
              <w:jc w:val="right"/>
            </w:pPr>
            <w:r>
              <w:t>Perú</w:t>
            </w:r>
          </w:p>
        </w:tc>
        <w:tc>
          <w:tcPr>
            <w:tcW w:w="1133" w:type="dxa"/>
          </w:tcPr>
          <w:p w14:paraId="57B6DC45" w14:textId="0CC061DC" w:rsidR="00265C61" w:rsidRDefault="00265C61" w:rsidP="00265C61">
            <w:pPr>
              <w:spacing w:after="0" w:line="240" w:lineRule="auto"/>
              <w:jc w:val="right"/>
            </w:pPr>
            <w:r>
              <w:t>Lima</w:t>
            </w:r>
          </w:p>
        </w:tc>
      </w:tr>
      <w:tr w:rsidR="00265C61" w14:paraId="11399E92" w14:textId="1D2D2C6B" w:rsidTr="006C037F">
        <w:trPr>
          <w:jc w:val="center"/>
        </w:trPr>
        <w:tc>
          <w:tcPr>
            <w:tcW w:w="2694" w:type="dxa"/>
          </w:tcPr>
          <w:p w14:paraId="5F05B9A3" w14:textId="77777777" w:rsidR="00265C61" w:rsidRDefault="00265C61" w:rsidP="00265C61">
            <w:pPr>
              <w:spacing w:after="0" w:line="240" w:lineRule="auto"/>
            </w:pPr>
            <w:r>
              <w:t>Repsol</w:t>
            </w:r>
          </w:p>
        </w:tc>
        <w:tc>
          <w:tcPr>
            <w:tcW w:w="1133" w:type="dxa"/>
          </w:tcPr>
          <w:p w14:paraId="79AF8C63" w14:textId="2918BE20" w:rsidR="00265C61" w:rsidRDefault="00265C61" w:rsidP="00265C61">
            <w:pPr>
              <w:spacing w:after="0" w:line="240" w:lineRule="auto"/>
              <w:jc w:val="right"/>
            </w:pPr>
            <w:r>
              <w:t>101</w:t>
            </w:r>
          </w:p>
        </w:tc>
        <w:tc>
          <w:tcPr>
            <w:tcW w:w="1133" w:type="dxa"/>
          </w:tcPr>
          <w:p w14:paraId="690DC72E" w14:textId="15775D51" w:rsidR="00265C61" w:rsidRDefault="00265C61" w:rsidP="00265C61">
            <w:pPr>
              <w:spacing w:after="0" w:line="240" w:lineRule="auto"/>
              <w:jc w:val="right"/>
            </w:pPr>
            <w:r>
              <w:t>79</w:t>
            </w:r>
          </w:p>
        </w:tc>
      </w:tr>
      <w:tr w:rsidR="00265C61" w14:paraId="646841EA" w14:textId="509F2666" w:rsidTr="006C037F">
        <w:trPr>
          <w:jc w:val="center"/>
        </w:trPr>
        <w:tc>
          <w:tcPr>
            <w:tcW w:w="2694" w:type="dxa"/>
          </w:tcPr>
          <w:p w14:paraId="6A850F91" w14:textId="77777777" w:rsidR="00265C61" w:rsidRDefault="00265C61" w:rsidP="00265C61">
            <w:pPr>
              <w:spacing w:after="0" w:line="240" w:lineRule="auto"/>
            </w:pPr>
            <w:r>
              <w:t>Primax</w:t>
            </w:r>
          </w:p>
        </w:tc>
        <w:tc>
          <w:tcPr>
            <w:tcW w:w="1133" w:type="dxa"/>
          </w:tcPr>
          <w:p w14:paraId="0DB3274A" w14:textId="4A8542A5" w:rsidR="00265C61" w:rsidRDefault="00265C61" w:rsidP="00265C61">
            <w:pPr>
              <w:spacing w:after="0" w:line="240" w:lineRule="auto"/>
              <w:jc w:val="right"/>
            </w:pPr>
            <w:r>
              <w:t>145</w:t>
            </w:r>
          </w:p>
        </w:tc>
        <w:tc>
          <w:tcPr>
            <w:tcW w:w="1133" w:type="dxa"/>
          </w:tcPr>
          <w:p w14:paraId="0490E61C" w14:textId="1F43B901" w:rsidR="00265C61" w:rsidRDefault="00265C61" w:rsidP="00265C61">
            <w:pPr>
              <w:spacing w:after="0" w:line="240" w:lineRule="auto"/>
              <w:jc w:val="right"/>
            </w:pPr>
            <w:r>
              <w:t>50</w:t>
            </w:r>
          </w:p>
        </w:tc>
      </w:tr>
      <w:tr w:rsidR="00265C61" w14:paraId="2AA1F674" w14:textId="45D8657C" w:rsidTr="006C037F">
        <w:trPr>
          <w:jc w:val="center"/>
        </w:trPr>
        <w:tc>
          <w:tcPr>
            <w:tcW w:w="2694" w:type="dxa"/>
          </w:tcPr>
          <w:p w14:paraId="0EB5AA8B" w14:textId="77777777" w:rsidR="00265C61" w:rsidRDefault="00265C61" w:rsidP="00265C61">
            <w:pPr>
              <w:spacing w:after="0" w:line="240" w:lineRule="auto"/>
            </w:pPr>
            <w:r>
              <w:t>Pecsa</w:t>
            </w:r>
          </w:p>
        </w:tc>
        <w:tc>
          <w:tcPr>
            <w:tcW w:w="1133" w:type="dxa"/>
          </w:tcPr>
          <w:p w14:paraId="6A5C45A0" w14:textId="0F8181F2" w:rsidR="00265C61" w:rsidRDefault="00265C61" w:rsidP="00265C61">
            <w:pPr>
              <w:spacing w:after="0" w:line="240" w:lineRule="auto"/>
              <w:jc w:val="right"/>
            </w:pPr>
            <w:r>
              <w:t>72</w:t>
            </w:r>
          </w:p>
        </w:tc>
        <w:tc>
          <w:tcPr>
            <w:tcW w:w="1133" w:type="dxa"/>
          </w:tcPr>
          <w:p w14:paraId="19BA316C" w14:textId="041D2745" w:rsidR="00265C61" w:rsidRDefault="00265C61" w:rsidP="00265C61">
            <w:pPr>
              <w:spacing w:after="0" w:line="240" w:lineRule="auto"/>
              <w:jc w:val="right"/>
            </w:pPr>
            <w:r>
              <w:t>35</w:t>
            </w:r>
          </w:p>
        </w:tc>
      </w:tr>
      <w:tr w:rsidR="00265C61" w14:paraId="23748B13" w14:textId="77777777" w:rsidTr="006C037F">
        <w:trPr>
          <w:jc w:val="center"/>
        </w:trPr>
        <w:tc>
          <w:tcPr>
            <w:tcW w:w="2694" w:type="dxa"/>
          </w:tcPr>
          <w:p w14:paraId="7CA2BE51" w14:textId="10DEEA76" w:rsidR="00265C61" w:rsidRDefault="00265C61" w:rsidP="00265C61">
            <w:pPr>
              <w:spacing w:after="0" w:line="240" w:lineRule="auto"/>
            </w:pPr>
            <w:r>
              <w:t>Otra razón social</w:t>
            </w:r>
          </w:p>
        </w:tc>
        <w:tc>
          <w:tcPr>
            <w:tcW w:w="1133" w:type="dxa"/>
          </w:tcPr>
          <w:p w14:paraId="0A6C26DC" w14:textId="010D7B8D" w:rsidR="00265C61" w:rsidRDefault="00265C61" w:rsidP="00265C61">
            <w:pPr>
              <w:spacing w:after="0" w:line="240" w:lineRule="auto"/>
              <w:jc w:val="right"/>
            </w:pPr>
            <w:r>
              <w:t>4096</w:t>
            </w:r>
          </w:p>
        </w:tc>
        <w:tc>
          <w:tcPr>
            <w:tcW w:w="1133" w:type="dxa"/>
          </w:tcPr>
          <w:p w14:paraId="721B7C18" w14:textId="07075DC4" w:rsidR="00265C61" w:rsidRDefault="00265C61" w:rsidP="00265C61">
            <w:pPr>
              <w:spacing w:after="0" w:line="240" w:lineRule="auto"/>
              <w:jc w:val="right"/>
            </w:pPr>
            <w:r>
              <w:t>604</w:t>
            </w:r>
          </w:p>
        </w:tc>
      </w:tr>
      <w:tr w:rsidR="00265C61" w14:paraId="01DAA1AA" w14:textId="2F93827B" w:rsidTr="006C037F">
        <w:trPr>
          <w:jc w:val="center"/>
        </w:trPr>
        <w:tc>
          <w:tcPr>
            <w:tcW w:w="2694" w:type="dxa"/>
          </w:tcPr>
          <w:p w14:paraId="186CFA91" w14:textId="77777777" w:rsidR="00265C61" w:rsidRPr="00DB477C" w:rsidRDefault="00265C61" w:rsidP="00265C61">
            <w:pPr>
              <w:spacing w:after="0" w:line="240" w:lineRule="auto"/>
              <w:rPr>
                <w:b/>
              </w:rPr>
            </w:pPr>
            <w:r w:rsidRPr="00DB477C">
              <w:rPr>
                <w:b/>
              </w:rPr>
              <w:t>Total</w:t>
            </w:r>
          </w:p>
        </w:tc>
        <w:tc>
          <w:tcPr>
            <w:tcW w:w="1133" w:type="dxa"/>
          </w:tcPr>
          <w:p w14:paraId="27D553DC" w14:textId="7B7CBC3E" w:rsidR="00265C61" w:rsidRDefault="003D327C" w:rsidP="00265C61">
            <w:pPr>
              <w:spacing w:after="0" w:line="240" w:lineRule="auto"/>
              <w:jc w:val="right"/>
            </w:pPr>
            <w:r>
              <w:t>4414</w:t>
            </w:r>
          </w:p>
        </w:tc>
        <w:tc>
          <w:tcPr>
            <w:tcW w:w="1133" w:type="dxa"/>
          </w:tcPr>
          <w:p w14:paraId="49018884" w14:textId="1E024AD0" w:rsidR="00265C61" w:rsidRDefault="003D327C" w:rsidP="00265C61">
            <w:pPr>
              <w:spacing w:after="0" w:line="240" w:lineRule="auto"/>
              <w:jc w:val="right"/>
            </w:pPr>
            <w:r>
              <w:t>768</w:t>
            </w:r>
          </w:p>
        </w:tc>
      </w:tr>
    </w:tbl>
    <w:p w14:paraId="35416CE0" w14:textId="77777777" w:rsidR="00DA31E8" w:rsidRPr="00DB477C" w:rsidRDefault="00DA31E8" w:rsidP="00DA31E8">
      <w:pPr>
        <w:spacing w:before="120"/>
        <w:rPr>
          <w:sz w:val="18"/>
        </w:rPr>
      </w:pPr>
      <w:r w:rsidRPr="00DB477C">
        <w:rPr>
          <w:sz w:val="18"/>
        </w:rPr>
        <w:t>Fuente: Elaboración propia, 2019</w:t>
      </w:r>
      <w:r>
        <w:rPr>
          <w:sz w:val="18"/>
        </w:rPr>
        <w:t xml:space="preserve">. </w:t>
      </w:r>
    </w:p>
    <w:p w14:paraId="2827B403" w14:textId="666F0994" w:rsidR="00DB477C" w:rsidRDefault="00DB477C" w:rsidP="00DB477C">
      <w:pPr>
        <w:pStyle w:val="Descripcin"/>
        <w:keepNext/>
      </w:pPr>
      <w:bookmarkStart w:id="15" w:name="_Ref6339505"/>
      <w:r>
        <w:t xml:space="preserve">Tabla </w:t>
      </w:r>
      <w:r>
        <w:fldChar w:fldCharType="begin"/>
      </w:r>
      <w:r>
        <w:instrText xml:space="preserve"> SEQ Tabla \* ARABIC </w:instrText>
      </w:r>
      <w:r>
        <w:fldChar w:fldCharType="separate"/>
      </w:r>
      <w:r w:rsidR="009A3452">
        <w:rPr>
          <w:noProof/>
        </w:rPr>
        <w:t>2</w:t>
      </w:r>
      <w:r>
        <w:fldChar w:fldCharType="end"/>
      </w:r>
      <w:bookmarkEnd w:id="14"/>
      <w:bookmarkEnd w:id="15"/>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B477C">
            <w:pPr>
              <w:spacing w:after="0" w:line="240" w:lineRule="auto"/>
            </w:pPr>
            <w:r>
              <w:t>Marca | Tipo de estación</w:t>
            </w:r>
          </w:p>
        </w:tc>
        <w:tc>
          <w:tcPr>
            <w:tcW w:w="1133" w:type="dxa"/>
          </w:tcPr>
          <w:p w14:paraId="105881AC" w14:textId="122FAFA3" w:rsidR="00DB477C" w:rsidRDefault="00DB477C" w:rsidP="00DB477C">
            <w:pPr>
              <w:spacing w:after="0" w:line="240" w:lineRule="auto"/>
              <w:jc w:val="right"/>
            </w:pPr>
            <w:r>
              <w:t>Propia</w:t>
            </w:r>
          </w:p>
        </w:tc>
        <w:tc>
          <w:tcPr>
            <w:tcW w:w="1279" w:type="dxa"/>
          </w:tcPr>
          <w:p w14:paraId="2E735BC2" w14:textId="4BC5AD27" w:rsidR="00DB477C" w:rsidRDefault="00DB477C" w:rsidP="00DB477C">
            <w:pPr>
              <w:spacing w:after="0" w:line="240" w:lineRule="auto"/>
            </w:pPr>
            <w:r>
              <w:t>Abanderada</w:t>
            </w:r>
          </w:p>
        </w:tc>
        <w:tc>
          <w:tcPr>
            <w:tcW w:w="1463" w:type="dxa"/>
          </w:tcPr>
          <w:p w14:paraId="1A93E4C4" w14:textId="7E8310B9" w:rsidR="00DB477C" w:rsidRDefault="00DB477C" w:rsidP="00DB477C">
            <w:pPr>
              <w:spacing w:after="0" w:line="240" w:lineRule="auto"/>
              <w:jc w:val="right"/>
            </w:pPr>
            <w:r>
              <w:t>Independiente</w:t>
            </w:r>
          </w:p>
        </w:tc>
        <w:tc>
          <w:tcPr>
            <w:tcW w:w="1463" w:type="dxa"/>
          </w:tcPr>
          <w:p w14:paraId="00400734" w14:textId="545DBC1B" w:rsidR="00DB477C" w:rsidRPr="00DB477C" w:rsidRDefault="00DB477C" w:rsidP="00DB477C">
            <w:pPr>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B477C">
            <w:pPr>
              <w:spacing w:after="0" w:line="240" w:lineRule="auto"/>
            </w:pPr>
            <w:r>
              <w:t>Repsol</w:t>
            </w:r>
          </w:p>
        </w:tc>
        <w:tc>
          <w:tcPr>
            <w:tcW w:w="1133" w:type="dxa"/>
          </w:tcPr>
          <w:p w14:paraId="06711F27" w14:textId="3450F357" w:rsidR="00DB477C" w:rsidRDefault="00DB477C" w:rsidP="00DB477C">
            <w:pPr>
              <w:spacing w:after="0" w:line="240" w:lineRule="auto"/>
              <w:jc w:val="right"/>
            </w:pPr>
            <w:r>
              <w:t>72</w:t>
            </w:r>
          </w:p>
        </w:tc>
        <w:tc>
          <w:tcPr>
            <w:tcW w:w="1279" w:type="dxa"/>
          </w:tcPr>
          <w:p w14:paraId="3CC4D8C2" w14:textId="7B80D0C7" w:rsidR="00DB477C" w:rsidRDefault="00DB477C" w:rsidP="00DB477C">
            <w:pPr>
              <w:spacing w:after="0" w:line="240" w:lineRule="auto"/>
              <w:jc w:val="right"/>
            </w:pPr>
            <w:r>
              <w:t>52</w:t>
            </w:r>
          </w:p>
        </w:tc>
        <w:tc>
          <w:tcPr>
            <w:tcW w:w="1463" w:type="dxa"/>
          </w:tcPr>
          <w:p w14:paraId="66BC7027" w14:textId="1485E210" w:rsidR="00DB477C" w:rsidRDefault="00DB477C" w:rsidP="00DB477C">
            <w:pPr>
              <w:spacing w:after="0" w:line="240" w:lineRule="auto"/>
              <w:jc w:val="right"/>
            </w:pPr>
            <w:r>
              <w:t>-</w:t>
            </w:r>
          </w:p>
        </w:tc>
        <w:tc>
          <w:tcPr>
            <w:tcW w:w="1463" w:type="dxa"/>
          </w:tcPr>
          <w:p w14:paraId="2B9499A0" w14:textId="23F36A64" w:rsidR="00DB477C" w:rsidRDefault="00DB477C" w:rsidP="00DB477C">
            <w:pPr>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B477C">
            <w:pPr>
              <w:spacing w:after="0" w:line="240" w:lineRule="auto"/>
            </w:pPr>
            <w:r>
              <w:t>Primax</w:t>
            </w:r>
          </w:p>
        </w:tc>
        <w:tc>
          <w:tcPr>
            <w:tcW w:w="1133" w:type="dxa"/>
          </w:tcPr>
          <w:p w14:paraId="0A16F939" w14:textId="73C4EA77" w:rsidR="00DB477C" w:rsidRDefault="00DB477C" w:rsidP="00DB477C">
            <w:pPr>
              <w:spacing w:after="0" w:line="240" w:lineRule="auto"/>
              <w:jc w:val="right"/>
            </w:pPr>
            <w:r>
              <w:t>41</w:t>
            </w:r>
          </w:p>
        </w:tc>
        <w:tc>
          <w:tcPr>
            <w:tcW w:w="1279" w:type="dxa"/>
          </w:tcPr>
          <w:p w14:paraId="2E63B821" w14:textId="6A451E24" w:rsidR="00DB477C" w:rsidRDefault="00DB477C" w:rsidP="00DB477C">
            <w:pPr>
              <w:spacing w:after="0" w:line="240" w:lineRule="auto"/>
              <w:jc w:val="right"/>
            </w:pPr>
            <w:r>
              <w:t>73</w:t>
            </w:r>
          </w:p>
        </w:tc>
        <w:tc>
          <w:tcPr>
            <w:tcW w:w="1463" w:type="dxa"/>
          </w:tcPr>
          <w:p w14:paraId="429B9B36" w14:textId="175EEC0B" w:rsidR="00DB477C" w:rsidRDefault="00DB477C" w:rsidP="00DB477C">
            <w:pPr>
              <w:spacing w:after="0" w:line="240" w:lineRule="auto"/>
              <w:jc w:val="right"/>
            </w:pPr>
            <w:r>
              <w:t>-</w:t>
            </w:r>
          </w:p>
        </w:tc>
        <w:tc>
          <w:tcPr>
            <w:tcW w:w="1463" w:type="dxa"/>
          </w:tcPr>
          <w:p w14:paraId="0282BD89" w14:textId="79308F22" w:rsidR="00DB477C" w:rsidRDefault="00DB477C" w:rsidP="00DB477C">
            <w:pPr>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B477C">
            <w:pPr>
              <w:spacing w:after="0" w:line="240" w:lineRule="auto"/>
            </w:pPr>
            <w:r>
              <w:t>Pecsa</w:t>
            </w:r>
          </w:p>
        </w:tc>
        <w:tc>
          <w:tcPr>
            <w:tcW w:w="1133" w:type="dxa"/>
          </w:tcPr>
          <w:p w14:paraId="37A9076C" w14:textId="0586E27F" w:rsidR="00DB477C" w:rsidRDefault="00DB477C" w:rsidP="00DB477C">
            <w:pPr>
              <w:spacing w:after="0" w:line="240" w:lineRule="auto"/>
              <w:jc w:val="right"/>
            </w:pPr>
            <w:r>
              <w:t>28</w:t>
            </w:r>
          </w:p>
        </w:tc>
        <w:tc>
          <w:tcPr>
            <w:tcW w:w="1279" w:type="dxa"/>
          </w:tcPr>
          <w:p w14:paraId="6A8E9B57" w14:textId="2F372B75" w:rsidR="00DB477C" w:rsidRDefault="00DB477C" w:rsidP="00DB477C">
            <w:pPr>
              <w:spacing w:after="0" w:line="240" w:lineRule="auto"/>
              <w:jc w:val="right"/>
            </w:pPr>
            <w:r>
              <w:t>30</w:t>
            </w:r>
          </w:p>
        </w:tc>
        <w:tc>
          <w:tcPr>
            <w:tcW w:w="1463" w:type="dxa"/>
          </w:tcPr>
          <w:p w14:paraId="7BEA4207" w14:textId="5FB8DB5C" w:rsidR="00DB477C" w:rsidRDefault="00DB477C" w:rsidP="00DB477C">
            <w:pPr>
              <w:spacing w:after="0" w:line="240" w:lineRule="auto"/>
              <w:jc w:val="right"/>
            </w:pPr>
            <w:r>
              <w:t>-</w:t>
            </w:r>
          </w:p>
        </w:tc>
        <w:tc>
          <w:tcPr>
            <w:tcW w:w="1463" w:type="dxa"/>
          </w:tcPr>
          <w:p w14:paraId="66A9D018" w14:textId="2D0D8E9F" w:rsidR="00DB477C" w:rsidRDefault="00DB477C" w:rsidP="00DB477C">
            <w:pPr>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B477C">
            <w:pPr>
              <w:spacing w:after="0" w:line="240" w:lineRule="auto"/>
            </w:pPr>
            <w:r>
              <w:t>Petroperú</w:t>
            </w:r>
          </w:p>
        </w:tc>
        <w:tc>
          <w:tcPr>
            <w:tcW w:w="1133" w:type="dxa"/>
          </w:tcPr>
          <w:p w14:paraId="28F736E7" w14:textId="724F6170" w:rsidR="00DB477C" w:rsidRDefault="00DB477C" w:rsidP="00DB477C">
            <w:pPr>
              <w:spacing w:after="0" w:line="240" w:lineRule="auto"/>
              <w:jc w:val="right"/>
            </w:pPr>
            <w:r>
              <w:t>0</w:t>
            </w:r>
          </w:p>
        </w:tc>
        <w:tc>
          <w:tcPr>
            <w:tcW w:w="1279" w:type="dxa"/>
          </w:tcPr>
          <w:p w14:paraId="2F01F204" w14:textId="6B1F39D1" w:rsidR="00DB477C" w:rsidRDefault="00DB477C" w:rsidP="00DB477C">
            <w:pPr>
              <w:spacing w:after="0" w:line="240" w:lineRule="auto"/>
              <w:jc w:val="right"/>
            </w:pPr>
            <w:r>
              <w:t>42</w:t>
            </w:r>
          </w:p>
        </w:tc>
        <w:tc>
          <w:tcPr>
            <w:tcW w:w="1463" w:type="dxa"/>
          </w:tcPr>
          <w:p w14:paraId="78AE62D5" w14:textId="0062C21C" w:rsidR="00DB477C" w:rsidRDefault="00DB477C" w:rsidP="00DB477C">
            <w:pPr>
              <w:spacing w:after="0" w:line="240" w:lineRule="auto"/>
              <w:jc w:val="right"/>
            </w:pPr>
            <w:r>
              <w:t>-</w:t>
            </w:r>
          </w:p>
        </w:tc>
        <w:tc>
          <w:tcPr>
            <w:tcW w:w="1463" w:type="dxa"/>
          </w:tcPr>
          <w:p w14:paraId="0C2DEB24" w14:textId="02E76460" w:rsidR="00DB477C" w:rsidRDefault="00DB477C" w:rsidP="00DB477C">
            <w:pPr>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B477C">
            <w:pPr>
              <w:spacing w:after="0" w:line="240" w:lineRule="auto"/>
            </w:pPr>
            <w:r>
              <w:t>Sin Marca</w:t>
            </w:r>
          </w:p>
        </w:tc>
        <w:tc>
          <w:tcPr>
            <w:tcW w:w="1133" w:type="dxa"/>
          </w:tcPr>
          <w:p w14:paraId="49EF1E21" w14:textId="156A3869" w:rsidR="00DB477C" w:rsidRDefault="00DB477C" w:rsidP="00DB477C">
            <w:pPr>
              <w:spacing w:after="0" w:line="240" w:lineRule="auto"/>
              <w:jc w:val="right"/>
            </w:pPr>
            <w:r>
              <w:t>-</w:t>
            </w:r>
          </w:p>
        </w:tc>
        <w:tc>
          <w:tcPr>
            <w:tcW w:w="1279" w:type="dxa"/>
          </w:tcPr>
          <w:p w14:paraId="7563A323" w14:textId="262361F0" w:rsidR="00DB477C" w:rsidRDefault="00DB477C" w:rsidP="00DB477C">
            <w:pPr>
              <w:spacing w:after="0" w:line="240" w:lineRule="auto"/>
              <w:jc w:val="right"/>
            </w:pPr>
            <w:r>
              <w:t>-</w:t>
            </w:r>
          </w:p>
        </w:tc>
        <w:tc>
          <w:tcPr>
            <w:tcW w:w="1463" w:type="dxa"/>
          </w:tcPr>
          <w:p w14:paraId="0A767D0A" w14:textId="6379A550" w:rsidR="00DB477C" w:rsidRDefault="00DB477C" w:rsidP="00DB477C">
            <w:pPr>
              <w:spacing w:after="0" w:line="240" w:lineRule="auto"/>
              <w:jc w:val="right"/>
            </w:pPr>
            <w:r>
              <w:t>99</w:t>
            </w:r>
          </w:p>
        </w:tc>
        <w:tc>
          <w:tcPr>
            <w:tcW w:w="1463" w:type="dxa"/>
          </w:tcPr>
          <w:p w14:paraId="6B92171A" w14:textId="46F60D5D" w:rsidR="00DB477C" w:rsidRDefault="00DB477C" w:rsidP="00DB477C">
            <w:pPr>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B477C">
            <w:pPr>
              <w:spacing w:after="0" w:line="240" w:lineRule="auto"/>
              <w:rPr>
                <w:b/>
              </w:rPr>
            </w:pPr>
            <w:r w:rsidRPr="00DB477C">
              <w:rPr>
                <w:b/>
              </w:rPr>
              <w:t>Total</w:t>
            </w:r>
          </w:p>
        </w:tc>
        <w:tc>
          <w:tcPr>
            <w:tcW w:w="1133" w:type="dxa"/>
          </w:tcPr>
          <w:p w14:paraId="2BE3A582" w14:textId="6F88168D" w:rsidR="00DB477C" w:rsidRDefault="00DB477C" w:rsidP="00DB477C">
            <w:pPr>
              <w:spacing w:after="0" w:line="240" w:lineRule="auto"/>
              <w:jc w:val="right"/>
            </w:pPr>
            <w:r>
              <w:t>141</w:t>
            </w:r>
          </w:p>
        </w:tc>
        <w:tc>
          <w:tcPr>
            <w:tcW w:w="1279" w:type="dxa"/>
          </w:tcPr>
          <w:p w14:paraId="5751477D" w14:textId="40E9F65C" w:rsidR="00DB477C" w:rsidRDefault="00DB477C" w:rsidP="00DB477C">
            <w:pPr>
              <w:spacing w:after="0" w:line="240" w:lineRule="auto"/>
              <w:jc w:val="right"/>
            </w:pPr>
            <w:r>
              <w:t>197</w:t>
            </w:r>
          </w:p>
        </w:tc>
        <w:tc>
          <w:tcPr>
            <w:tcW w:w="1463" w:type="dxa"/>
          </w:tcPr>
          <w:p w14:paraId="64306963" w14:textId="44F88500" w:rsidR="00DB477C" w:rsidRDefault="00DB477C" w:rsidP="00DB477C">
            <w:pPr>
              <w:spacing w:after="0" w:line="240" w:lineRule="auto"/>
              <w:jc w:val="right"/>
            </w:pPr>
            <w:r>
              <w:t>99</w:t>
            </w:r>
          </w:p>
        </w:tc>
        <w:tc>
          <w:tcPr>
            <w:tcW w:w="1463" w:type="dxa"/>
          </w:tcPr>
          <w:p w14:paraId="683B9CFC" w14:textId="77494635" w:rsidR="00DB477C" w:rsidRDefault="00DB477C" w:rsidP="00DB477C">
            <w:pPr>
              <w:spacing w:after="0" w:line="240" w:lineRule="auto"/>
              <w:jc w:val="right"/>
            </w:pPr>
            <w:r>
              <w:t>437</w:t>
            </w:r>
          </w:p>
        </w:tc>
      </w:tr>
    </w:tbl>
    <w:p w14:paraId="7FB26513" w14:textId="783545DB" w:rsidR="00AE36B3" w:rsidRPr="00DB477C" w:rsidRDefault="00DB477C" w:rsidP="00DB477C">
      <w:pPr>
        <w:spacing w:before="120"/>
        <w:rPr>
          <w:sz w:val="18"/>
        </w:rPr>
      </w:pPr>
      <w:r w:rsidRPr="00DB477C">
        <w:rPr>
          <w:sz w:val="18"/>
        </w:rPr>
        <w:lastRenderedPageBreak/>
        <w:t>Fuente: Elaboración propia, 2019</w:t>
      </w:r>
      <w:r w:rsidR="00265C61">
        <w:rPr>
          <w:sz w:val="18"/>
        </w:rPr>
        <w:t xml:space="preserve">. </w:t>
      </w:r>
    </w:p>
    <w:p w14:paraId="2116A64C" w14:textId="0D473469" w:rsidR="00091768" w:rsidRDefault="00091768" w:rsidP="00AE7D0B">
      <w:r>
        <w:t xml:space="preserve">Con respecto a los precios, podemos observar diferencias entre los precios promedio por distritos y dispersión con respecto al </w:t>
      </w:r>
      <w:commentRangeStart w:id="16"/>
      <w:r>
        <w:t xml:space="preserve">precio </w:t>
      </w:r>
      <w:commentRangeEnd w:id="16"/>
      <w:r w:rsidR="007231E6">
        <w:rPr>
          <w:rStyle w:val="Refdecomentario"/>
        </w:rPr>
        <w:commentReference w:id="16"/>
      </w:r>
      <w:r>
        <w:t>del combustible para cada distrito.</w:t>
      </w:r>
    </w:p>
    <w:p w14:paraId="6163D451" w14:textId="7E272EC9" w:rsidR="000B0CED" w:rsidRPr="00AE7D0B" w:rsidRDefault="000B0CED" w:rsidP="00AE7D0B"/>
    <w:p w14:paraId="468851AB" w14:textId="77777777" w:rsidR="00067D45" w:rsidRDefault="00067D45" w:rsidP="00F57A1B">
      <w:r>
        <w:br w:type="page"/>
      </w:r>
    </w:p>
    <w:p w14:paraId="1E6EE31A" w14:textId="0CAA8FB9" w:rsidR="001D7AC0" w:rsidRDefault="001D7AC0" w:rsidP="000D15A3">
      <w:pPr>
        <w:pStyle w:val="Ttulo1"/>
      </w:pPr>
      <w:r w:rsidRPr="000D15A3">
        <w:lastRenderedPageBreak/>
        <w:t>Metodología</w:t>
      </w:r>
    </w:p>
    <w:p w14:paraId="69ECB78C" w14:textId="132EA587" w:rsidR="00B55601" w:rsidRDefault="00B55601" w:rsidP="000D15A3">
      <w:pPr>
        <w:pStyle w:val="Ttulo2"/>
      </w:pPr>
      <w:r>
        <w:t>Datos utilizados</w:t>
      </w:r>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28771070" w:rsidR="00A96CAF" w:rsidRDefault="00A96CAF" w:rsidP="00A96CAF">
      <w:pPr>
        <w:pStyle w:val="Descripcin"/>
        <w:keepNext/>
        <w:jc w:val="left"/>
      </w:pPr>
      <w:r>
        <w:t xml:space="preserve">Gráfico </w:t>
      </w:r>
      <w:r>
        <w:fldChar w:fldCharType="begin"/>
      </w:r>
      <w:r>
        <w:instrText xml:space="preserve"> SEQ Gráfico \* ARABIC </w:instrText>
      </w:r>
      <w:r>
        <w:fldChar w:fldCharType="separate"/>
      </w:r>
      <w:r w:rsidR="00F2093F">
        <w:rPr>
          <w:noProof/>
        </w:rPr>
        <w:t>4</w:t>
      </w:r>
      <w:r>
        <w:fldChar w:fldCharType="end"/>
      </w:r>
      <w:r>
        <w:t>: Distribución de estaciones en distritos de Lima Metropolitana</w:t>
      </w:r>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r>
        <w:lastRenderedPageBreak/>
        <w:t>Definición de mercados</w:t>
      </w:r>
    </w:p>
    <w:p w14:paraId="30F900A5" w14:textId="5FD377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F2093F">
        <w:t xml:space="preserve">Gráfico </w:t>
      </w:r>
      <w:r w:rsidR="00F2093F">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21E590C" w:rsidR="002E77DD" w:rsidRPr="002E77DD" w:rsidRDefault="002E77DD" w:rsidP="002E77DD">
      <w:pPr>
        <w:pStyle w:val="Descripcin"/>
      </w:pPr>
      <w:bookmarkStart w:id="17" w:name="_Ref6265180"/>
      <w:r>
        <w:t xml:space="preserve">Gráfico </w:t>
      </w:r>
      <w:r>
        <w:fldChar w:fldCharType="begin"/>
      </w:r>
      <w:r>
        <w:instrText xml:space="preserve"> SEQ Gráfico \* ARABIC </w:instrText>
      </w:r>
      <w:r>
        <w:fldChar w:fldCharType="separate"/>
      </w:r>
      <w:r w:rsidR="00F2093F">
        <w:rPr>
          <w:noProof/>
        </w:rPr>
        <w:t>5</w:t>
      </w:r>
      <w:r>
        <w:fldChar w:fldCharType="end"/>
      </w:r>
      <w:bookmarkEnd w:id="17"/>
      <w:r>
        <w:t>: Definición de vecinos para una estación de servicios utilizando polígonos de Thiessen</w:t>
      </w:r>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8"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" fillcolor="white [3212]" strokeweight=".5pt">
                <v:textbox inset="1mm,0,0,0">
                  <w:txbxContent>
                    <w:p w14:paraId="32A0F6C8" w14:textId="0974A378"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9"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" fillcolor="white [3212]" strokeweight=".5pt">
                <v:textbox inset="1mm,0,0,0">
                  <w:txbxContent>
                    <w:p w14:paraId="4EB4DF79" w14:textId="67DD165C"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50"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" fillcolor="white [3212]" strokeweight=".5pt">
                <v:textbox inset="1mm,0,0,0">
                  <w:txbxContent>
                    <w:p w14:paraId="19D39396" w14:textId="1E607068"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51"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Fj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CrNZFj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2"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o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zfDrrsoDihXBa6vnOGr2vk3zDn&#10;n5jFRkOFcHj8Iy6lBAwKeouSCuyvv50HPNYfvZQ02Lg5dT8PzApK5DeNnXE9TdPQ6XGDhh2M3WDo&#10;g1oBqjPG0TQ8mgHn5WCWFtQLztUyvIQupjm+l1M/mCvfjRDOJRfLZQRhPxvmN3preKAO1QhaPrcv&#10;zJq+lqGfHmBoa5a9K2mHDTc1LA8eyjrWO4jbKdlrjrMQO6af2zBsr/cRdfm7LH4D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bRg6IF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3"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E5UAIAAKUEAAAOAAAAZHJzL2Uyb0RvYy54bWysVMFu2zAMvQ/YPwi6L3aaJU2N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" fillcolor="white [3212]" strokeweight=".5pt">
                <v:textbox inset="1mm,0,0,0">
                  <w:txbxContent>
                    <w:p w14:paraId="57E5677B" w14:textId="381278BE" w:rsidR="000E1B51" w:rsidRPr="007E719A" w:rsidRDefault="000E1B5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0E1B51" w:rsidRPr="002E77DD" w:rsidRDefault="000E1B5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0E1B51" w:rsidRPr="002E77DD" w:rsidRDefault="000E1B5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0E1B51" w:rsidRPr="002E77DD" w:rsidRDefault="000E1B51" w:rsidP="002E77DD">
                            <w:pPr>
                              <w:spacing w:after="0" w:line="240" w:lineRule="auto"/>
                              <w:jc w:val="left"/>
                              <w:rPr>
                                <w:rFonts w:cstheme="minorHAnsi"/>
                                <w:color w:val="000000" w:themeColor="text1"/>
                                <w:sz w:val="14"/>
                                <w:shd w:val="clear" w:color="auto" w:fill="FFFFFF"/>
                              </w:rPr>
                            </w:pPr>
                          </w:p>
                          <w:p w14:paraId="2AECCD07" w14:textId="22229AD8" w:rsidR="000E1B51" w:rsidRPr="002E77DD" w:rsidRDefault="000E1B51"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0E1B51" w:rsidRPr="002E77DD" w:rsidRDefault="000E1B51">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4"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" fillcolor="white [3212]" strokeweight=".5pt">
                <v:textbox inset="1mm,0,0,0">
                  <w:txbxContent>
                    <w:p w14:paraId="0E53287F" w14:textId="31850E06" w:rsidR="000E1B51" w:rsidRPr="002E77DD" w:rsidRDefault="000E1B5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0E1B51" w:rsidRPr="002E77DD" w:rsidRDefault="000E1B5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0E1B51" w:rsidRPr="002E77DD" w:rsidRDefault="000E1B51" w:rsidP="002E77DD">
                      <w:pPr>
                        <w:spacing w:after="0" w:line="240" w:lineRule="auto"/>
                        <w:jc w:val="left"/>
                        <w:rPr>
                          <w:rFonts w:cstheme="minorHAnsi"/>
                          <w:color w:val="000000" w:themeColor="text1"/>
                          <w:sz w:val="14"/>
                          <w:shd w:val="clear" w:color="auto" w:fill="FFFFFF"/>
                        </w:rPr>
                      </w:pPr>
                    </w:p>
                    <w:p w14:paraId="2AECCD07" w14:textId="22229AD8" w:rsidR="000E1B51" w:rsidRPr="002E77DD" w:rsidRDefault="000E1B51"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0E1B51" w:rsidRPr="002E77DD" w:rsidRDefault="000E1B51">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r>
        <w:lastRenderedPageBreak/>
        <w:t>Definición de variables</w:t>
      </w:r>
    </w:p>
    <w:p w14:paraId="25CAA792" w14:textId="266D44AD"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r w:rsidR="005526A5">
        <w:rPr>
          <w:rStyle w:val="Refdenotaalpie"/>
        </w:rPr>
        <w:footnoteReference w:id="3"/>
      </w:r>
      <w:r w:rsidR="005526A5">
        <w:t>.</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30F9A256"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apartado teórico.</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lastRenderedPageBreak/>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2C7BA20A" w:rsidR="006C037F" w:rsidRDefault="006C037F" w:rsidP="006C037F">
      <w:pPr>
        <w:pStyle w:val="Descripcin"/>
        <w:keepNext/>
      </w:pPr>
      <w:r>
        <w:t xml:space="preserve">Tabla </w:t>
      </w:r>
      <w:r>
        <w:fldChar w:fldCharType="begin"/>
      </w:r>
      <w:r>
        <w:instrText xml:space="preserve"> SEQ Tabla \* ARABIC </w:instrText>
      </w:r>
      <w:r>
        <w:fldChar w:fldCharType="separate"/>
      </w:r>
      <w:r w:rsidR="009A3452">
        <w:rPr>
          <w:noProof/>
        </w:rPr>
        <w:t>3</w:t>
      </w:r>
      <w:r>
        <w:fldChar w:fldCharType="end"/>
      </w:r>
      <w:r>
        <w:t>: Estadística descriptiva</w:t>
      </w:r>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6C037F">
            <w:pPr>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6C037F">
            <w:pPr>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6C037F">
            <w:pPr>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6C037F">
            <w:pPr>
              <w:spacing w:after="0" w:line="240" w:lineRule="auto"/>
              <w:jc w:val="right"/>
              <w:rPr>
                <w:rFonts w:cstheme="minorHAnsi"/>
                <w:b/>
                <w:bCs/>
                <w:color w:val="333333"/>
                <w:sz w:val="18"/>
                <w:szCs w:val="18"/>
              </w:rPr>
            </w:pPr>
            <w:r w:rsidRPr="006C037F">
              <w:rPr>
                <w:rFonts w:cstheme="minorHAnsi"/>
                <w:b/>
                <w:bCs/>
                <w:color w:val="333333"/>
                <w:sz w:val="18"/>
                <w:szCs w:val="18"/>
              </w:rPr>
              <w:t>Des.Est</w:t>
            </w:r>
          </w:p>
        </w:tc>
        <w:tc>
          <w:tcPr>
            <w:tcW w:w="0" w:type="auto"/>
            <w:hideMark/>
          </w:tcPr>
          <w:p w14:paraId="1C1E0B88" w14:textId="77777777" w:rsidR="006C037F" w:rsidRPr="006C037F" w:rsidRDefault="006C037F" w:rsidP="006C037F">
            <w:pPr>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6C037F">
            <w:pPr>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6C037F">
            <w:pPr>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DB5</w:t>
            </w:r>
          </w:p>
        </w:tc>
        <w:tc>
          <w:tcPr>
            <w:tcW w:w="3064" w:type="dxa"/>
            <w:hideMark/>
          </w:tcPr>
          <w:p w14:paraId="1BC7F710"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6C037F">
            <w:pPr>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G90</w:t>
            </w:r>
          </w:p>
        </w:tc>
        <w:tc>
          <w:tcPr>
            <w:tcW w:w="3064" w:type="dxa"/>
            <w:hideMark/>
          </w:tcPr>
          <w:p w14:paraId="1CE7647F"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GLP</w:t>
            </w:r>
          </w:p>
        </w:tc>
        <w:tc>
          <w:tcPr>
            <w:tcW w:w="976" w:type="dxa"/>
            <w:hideMark/>
          </w:tcPr>
          <w:p w14:paraId="3714ED2C"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GNV</w:t>
            </w:r>
          </w:p>
        </w:tc>
        <w:tc>
          <w:tcPr>
            <w:tcW w:w="976" w:type="dxa"/>
            <w:hideMark/>
          </w:tcPr>
          <w:p w14:paraId="269AA469"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asistencia mecánica</w:t>
            </w:r>
          </w:p>
        </w:tc>
        <w:tc>
          <w:tcPr>
            <w:tcW w:w="976" w:type="dxa"/>
            <w:hideMark/>
          </w:tcPr>
          <w:p w14:paraId="641C23C3"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servicio de lavado de autos</w:t>
            </w:r>
          </w:p>
        </w:tc>
        <w:tc>
          <w:tcPr>
            <w:tcW w:w="976" w:type="dxa"/>
            <w:hideMark/>
          </w:tcPr>
          <w:p w14:paraId="181977BE"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tienda o mini-market</w:t>
            </w:r>
          </w:p>
        </w:tc>
        <w:tc>
          <w:tcPr>
            <w:tcW w:w="976" w:type="dxa"/>
            <w:hideMark/>
          </w:tcPr>
          <w:p w14:paraId="4F6B3331"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cajero automático</w:t>
            </w:r>
          </w:p>
        </w:tc>
        <w:tc>
          <w:tcPr>
            <w:tcW w:w="976" w:type="dxa"/>
            <w:hideMark/>
          </w:tcPr>
          <w:p w14:paraId="2FEBADBC"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6C037F">
            <w:pPr>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6C037F">
            <w:pPr>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6C037F">
            <w:pPr>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r>
        <w:t>Regresio</w:t>
      </w:r>
      <w:r w:rsidR="006507EA">
        <w:t>n</w:t>
      </w:r>
      <w:r>
        <w:t>es</w:t>
      </w:r>
      <w:r w:rsidR="006507EA">
        <w:t xml:space="preserve"> a estimar</w:t>
      </w:r>
    </w:p>
    <w:p w14:paraId="2AD2411B" w14:textId="0EC00D1A" w:rsidR="00DA31E8" w:rsidRPr="00DA31E8" w:rsidRDefault="00DA31E8" w:rsidP="00DA31E8">
      <w:pPr>
        <w:pStyle w:val="Ttulo3"/>
      </w:pPr>
      <w:bookmarkStart w:id="18" w:name="_Ref6340956"/>
      <w:r>
        <w:t>Por corte transversal</w:t>
      </w:r>
      <w:bookmarkEnd w:id="18"/>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70D97C83"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w:t>
      </w:r>
      <w:r w:rsidR="00CB4A95">
        <w:lastRenderedPageBreak/>
        <w:t xml:space="preserve">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F2093F">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F2093F">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Esta prueba utiliza los residuos de la regresión estimada y sigue una distribución chi-cuadrado con un grado de libertad.</w:t>
      </w:r>
      <w:r w:rsidR="00ED072A">
        <w:t xml:space="preserve"> La ecuación a estimar por OLS es la siguiente:</w:t>
      </w:r>
    </w:p>
    <w:p w14:paraId="7A77764F" w14:textId="2EE5123B" w:rsidR="003A5534" w:rsidRDefault="006C037F"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715046" w:rsidRDefault="002215E6" w:rsidP="00CB4A95">
      <w:pPr>
        <w:rPr>
          <w:lang w:val="en-US"/>
        </w:rPr>
      </w:pPr>
      <w:r w:rsidRPr="00715046">
        <w:rPr>
          <w:lang w:val="en-US"/>
        </w:rPr>
        <w:t xml:space="preserve">Elhorst </w:t>
      </w:r>
      <w:r w:rsidRPr="006C037F">
        <w:fldChar w:fldCharType="begin"/>
      </w:r>
      <w:r w:rsidR="0038259E" w:rsidRPr="00715046">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6C037F">
        <w:fldChar w:fldCharType="separate"/>
      </w:r>
      <w:r w:rsidRPr="00715046">
        <w:rPr>
          <w:rFonts w:ascii="Times New Roman" w:hAnsi="Times New Roman"/>
          <w:lang w:val="en-US"/>
        </w:rPr>
        <w:t>(2010)</w:t>
      </w:r>
      <w:r w:rsidRPr="006C037F">
        <w:fldChar w:fldCharType="end"/>
      </w:r>
      <w:r w:rsidRPr="00715046">
        <w:rPr>
          <w:lang w:val="en-US"/>
        </w:rPr>
        <w:t xml:space="preserve"> indica que si las pruebas de LM de Anselin (1996) son rechazadas</w:t>
      </w:r>
      <w:r w:rsidR="009773EE" w:rsidRPr="00715046">
        <w:rPr>
          <w:lang w:val="en-US"/>
        </w:rPr>
        <w:t xml:space="preserve"> para el modelo de rezagos espaciales, para el modelo de error</w:t>
      </w:r>
      <w:r w:rsidR="00CF2550" w:rsidRPr="00715046">
        <w:rPr>
          <w:lang w:val="en-US"/>
        </w:rPr>
        <w:t>e</w:t>
      </w:r>
      <w:r w:rsidR="009773EE" w:rsidRPr="00715046">
        <w:rPr>
          <w:lang w:val="en-US"/>
        </w:rPr>
        <w:t>s espaciales o para ambos, entonces se</w:t>
      </w:r>
      <w:r w:rsidRPr="00715046">
        <w:rPr>
          <w:lang w:val="en-US"/>
        </w:rPr>
        <w:t xml:space="preserve"> estima el modelo espacial de Durbin</w:t>
      </w:r>
      <w:r w:rsidR="009773EE" w:rsidRPr="00715046">
        <w:rPr>
          <w:lang w:val="en-US"/>
        </w:rPr>
        <w:t xml:space="preserve"> con la información del corte transversal </w:t>
      </w:r>
      <m:oMath>
        <m:r>
          <m:rPr>
            <m:sty m:val="bi"/>
          </m:rPr>
          <w:rPr>
            <w:rFonts w:ascii="Cambria Math" w:hAnsi="Cambria Math"/>
          </w:rPr>
          <m:t>t</m:t>
        </m:r>
      </m:oMath>
      <w:r w:rsidRPr="00715046">
        <w:rPr>
          <w:lang w:val="en-US"/>
        </w:rPr>
        <w:t>:</w:t>
      </w:r>
    </w:p>
    <w:p w14:paraId="536858EC" w14:textId="34E2F22B" w:rsidR="002215E6" w:rsidRPr="006C037F" w:rsidRDefault="006C037F" w:rsidP="00CB4A95">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6C037F">
        <w:t xml:space="preserve">Este modelo se estimará por máxima verosimilitud, aplicando un test de razón de verosimilitud (LR) 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6C037F">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r>
        <w:lastRenderedPageBreak/>
        <w:t>Por panel</w:t>
      </w:r>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A815AC"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r>
            <w:rPr>
              <w:rFonts w:ascii="Cambria Math" w:hAnsi="Cambria Math"/>
              <w:lang w:val="es-ES"/>
            </w:rPr>
            <m:t>μ</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r>
        <w:rPr>
          <w:lang w:val="es-ES"/>
        </w:rPr>
        <w:lastRenderedPageBreak/>
        <w:t>Resultados y Discusión</w:t>
      </w:r>
    </w:p>
    <w:p w14:paraId="15D18566" w14:textId="08564632" w:rsidR="009A3452" w:rsidRPr="009A3452" w:rsidRDefault="009A3452" w:rsidP="009A3452">
      <w:pPr>
        <w:pStyle w:val="Ttulo2"/>
        <w:rPr>
          <w:lang w:val="es-ES"/>
        </w:rPr>
      </w:pPr>
      <w:r>
        <w:rPr>
          <w:lang w:val="es-ES"/>
        </w:rPr>
        <w:t>Estimación por corte transversal</w:t>
      </w:r>
    </w:p>
    <w:p w14:paraId="0402BFEE" w14:textId="35375F7A"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F2093F">
        <w:t xml:space="preserve">Tabla </w:t>
      </w:r>
      <w:r w:rsidR="00F2093F">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08BCA148" w:rsidR="00CC64D9" w:rsidRDefault="00CC64D9" w:rsidP="00CC64D9">
      <w:pPr>
        <w:pStyle w:val="Descripcin"/>
        <w:keepNext/>
      </w:pPr>
      <w:bookmarkStart w:id="19" w:name="_Ref6331822"/>
      <w:r>
        <w:t xml:space="preserve">Tabla </w:t>
      </w:r>
      <w:r>
        <w:fldChar w:fldCharType="begin"/>
      </w:r>
      <w:r>
        <w:instrText xml:space="preserve"> SEQ Tabla \* ARABIC </w:instrText>
      </w:r>
      <w:r>
        <w:fldChar w:fldCharType="separate"/>
      </w:r>
      <w:r w:rsidR="009A3452">
        <w:rPr>
          <w:noProof/>
        </w:rPr>
        <w:t>4</w:t>
      </w:r>
      <w:r>
        <w:fldChar w:fldCharType="end"/>
      </w:r>
      <w:bookmarkEnd w:id="19"/>
      <w:r>
        <w:t>: Resultados de regresión lineal por MCO - Combustible Diésel DB5-S50</w:t>
      </w:r>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Precio de venta de Diesel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(df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(df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(df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(df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4DBB750B" w:rsidR="00EB4D69" w:rsidRPr="00E15DF9" w:rsidRDefault="00EB4D69" w:rsidP="00E15DF9">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E11291">
              <w:rPr>
                <w:rFonts w:cstheme="minorHAnsi"/>
                <w:color w:val="333333"/>
                <w:sz w:val="18"/>
                <w:szCs w:val="18"/>
              </w:rPr>
              <w:t>enero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w:t>
      </w:r>
      <w:r w:rsidR="00AC5CFF">
        <w:rPr>
          <w:lang w:val="es-ES"/>
        </w:rPr>
        <w:lastRenderedPageBreak/>
        <w:t xml:space="preserve">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72C9FEE9"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t xml:space="preserve">Tabla </w:t>
      </w:r>
      <w:r>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1C4B13" w:rsidRPr="00660EDE">
        <w:rPr>
          <w:i/>
          <w:color w:val="000000" w:themeColor="text1"/>
        </w:rPr>
        <w:t xml:space="preserve">Gráfico </w:t>
      </w:r>
      <w:r w:rsidR="001C4B13">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1C4B13">
        <w:t xml:space="preserve">Tabla </w:t>
      </w:r>
      <w:r w:rsidR="001C4B13">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m:t>
        </m:r>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1EE3DADE" w:rsidR="001C4B13" w:rsidRDefault="001C4B13" w:rsidP="001C4B13">
      <w:pPr>
        <w:pStyle w:val="Descripcin"/>
        <w:keepNext/>
      </w:pPr>
      <w:bookmarkStart w:id="20" w:name="_Ref6341542"/>
      <w:r>
        <w:t xml:space="preserve">Tabla </w:t>
      </w:r>
      <w:r>
        <w:fldChar w:fldCharType="begin"/>
      </w:r>
      <w:r>
        <w:instrText xml:space="preserve"> SEQ Tabla \* ARABIC </w:instrText>
      </w:r>
      <w:r>
        <w:fldChar w:fldCharType="separate"/>
      </w:r>
      <w:r w:rsidR="009A3452">
        <w:rPr>
          <w:noProof/>
        </w:rPr>
        <w:t>5</w:t>
      </w:r>
      <w:r>
        <w:fldChar w:fldCharType="end"/>
      </w:r>
      <w:bookmarkEnd w:id="20"/>
      <w:r>
        <w:t>: Pruebas de LR para simplificar el modelo espacial de Durbin</w:t>
      </w:r>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2A08F0">
            <w:pPr>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2A08F0">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2A08F0">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2A08F0">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2A08F0">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C5153F" w:rsidP="00C5153F">
            <w:pPr>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m:t>
              </m:r>
              <m:r>
                <w:rPr>
                  <w:rFonts w:ascii="Cambria Math" w:hAnsi="Cambria Math" w:cstheme="minorHAnsi"/>
                  <w:color w:val="333333"/>
                  <w:sz w:val="18"/>
                  <w:szCs w:val="18"/>
                </w:rPr>
                <m:t>0</m:t>
              </m:r>
            </m:oMath>
            <w:r>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2A08F0">
            <w:pPr>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2A08F0">
            <w:pPr>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2A08F0">
            <w:pPr>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2A08F0">
            <w:pPr>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C5153F" w:rsidP="00C5153F">
            <w:pPr>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m:t>
              </m:r>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m:t>
              </m:r>
              <m:r>
                <w:rPr>
                  <w:rFonts w:ascii="Cambria Math" w:hAnsi="Cambria Math" w:cstheme="minorHAnsi"/>
                  <w:color w:val="333333"/>
                  <w:sz w:val="18"/>
                  <w:szCs w:val="18"/>
                </w:rPr>
                <m:t>0</m:t>
              </m:r>
            </m:oMath>
            <w:r>
              <w:rPr>
                <w:rFonts w:cstheme="minorHAnsi"/>
                <w:color w:val="333333"/>
                <w:sz w:val="18"/>
                <w:szCs w:val="18"/>
              </w:rPr>
              <w:t xml:space="preserve"> | LR [valor p]</w:t>
            </w:r>
          </w:p>
        </w:tc>
        <w:tc>
          <w:tcPr>
            <w:tcW w:w="1487" w:type="dxa"/>
          </w:tcPr>
          <w:p w14:paraId="65531A31" w14:textId="673BEC91" w:rsidR="00C5153F" w:rsidRPr="00EB4D69" w:rsidRDefault="00C5153F" w:rsidP="00C5153F">
            <w:pPr>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C5153F">
            <w:pPr>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C5153F">
            <w:pPr>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C5153F">
            <w:pPr>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lastRenderedPageBreak/>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C14D1B"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4867B82B" w:rsidR="00F2093F" w:rsidRPr="00EE471F" w:rsidRDefault="00EE471F" w:rsidP="00EE471F">
      <w:pPr>
        <w:spacing w:after="200" w:line="276" w:lineRule="auto"/>
        <w:rPr>
          <w:lang w:val="es-ES"/>
        </w:rPr>
      </w:pPr>
      <w:r>
        <w:rPr>
          <w:lang w:val="es-ES"/>
        </w:rPr>
        <w:t xml:space="preserve">Los coeficientes que se reportan no pueden ser comparados directamente con los obtenidos en el modelo lineal. Sin embargo,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w:t>
      </w:r>
      <w:r w:rsidR="00C0182C">
        <w:rPr>
          <w:lang w:val="es-ES"/>
        </w:rPr>
        <w:t>en una observación  producto del</w:t>
      </w:r>
      <w:r>
        <w:rPr>
          <w:lang w:val="es-ES"/>
        </w:rPr>
        <w:t xml:space="preserve"> cambio de </w:t>
      </w:r>
      <w:r w:rsidR="00C0182C">
        <w:rPr>
          <w:lang w:val="es-ES"/>
        </w:rPr>
        <w:t>r-ésima</w:t>
      </w:r>
      <w:r>
        <w:rPr>
          <w:lang w:val="es-ES"/>
        </w:rPr>
        <w:t xml:space="preserve"> variable independiente, un efecto total que</w:t>
      </w:r>
      <w:r w:rsidR="00C0182C">
        <w:rPr>
          <w:lang w:val="es-ES"/>
        </w:rPr>
        <w:t xml:space="preserve"> refleja el cambio promedio en la variable dependiente</w:t>
      </w:r>
      <w:r>
        <w:rPr>
          <w:lang w:val="es-ES"/>
        </w:rPr>
        <w:t xml:space="preserve"> si una variable independiente cambia en la misma magnitud  para todas las observaciones</w:t>
      </w:r>
      <w:r w:rsidR="00C0182C">
        <w:rPr>
          <w:lang w:val="es-ES"/>
        </w:rPr>
        <w:t xml:space="preserve">, y el efecto indirecto o </w:t>
      </w:r>
      <w:r>
        <w:rPr>
          <w:i/>
          <w:lang w:val="es-ES"/>
        </w:rPr>
        <w:t>spill-over</w:t>
      </w:r>
      <w:r>
        <w:rPr>
          <w:lang w:val="es-ES"/>
        </w:rPr>
        <w:t xml:space="preserve"> </w:t>
      </w:r>
      <w:r w:rsidR="00C0182C">
        <w:rPr>
          <w:lang w:val="es-ES"/>
        </w:rPr>
        <w:t>definido como la diferencia entre el efecto total y el directo.</w:t>
      </w:r>
      <w:r>
        <w:rPr>
          <w:lang w:val="es-ES"/>
        </w:rPr>
        <w:t xml:space="preserve"> </w:t>
      </w:r>
    </w:p>
    <w:p w14:paraId="156A3636" w14:textId="0A7EC714" w:rsidR="00C0182C" w:rsidRDefault="00C0182C" w:rsidP="00C0182C">
      <w:pPr>
        <w:pStyle w:val="Descripcin"/>
        <w:keepNext/>
      </w:pPr>
      <w:bookmarkStart w:id="21" w:name="_Ref6344719"/>
      <w:r>
        <w:t xml:space="preserve">Tabla </w:t>
      </w:r>
      <w:r>
        <w:fldChar w:fldCharType="begin"/>
      </w:r>
      <w:r>
        <w:instrText xml:space="preserve"> SEQ Tabla \* ARABIC </w:instrText>
      </w:r>
      <w:r>
        <w:fldChar w:fldCharType="separate"/>
      </w:r>
      <w:r w:rsidR="009A3452">
        <w:rPr>
          <w:noProof/>
        </w:rPr>
        <w:t>6</w:t>
      </w:r>
      <w:r>
        <w:fldChar w:fldCharType="end"/>
      </w:r>
      <w:bookmarkEnd w:id="21"/>
      <w:r>
        <w:t>: Resultados del modelo autoregresivo espacial estimado por ML</w:t>
      </w:r>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de la variable dep.)</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Log Likelihood</w:t>
            </w:r>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195A79AB" w:rsidR="00C14D1B" w:rsidRDefault="00C14D1B" w:rsidP="00C14D1B">
      <w:pPr>
        <w:spacing w:before="240" w:after="0"/>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t xml:space="preserve">Tabla </w:t>
      </w:r>
      <w:r>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p>
    <w:p w14:paraId="51B9D4A8" w14:textId="6E9A3148" w:rsidR="00C14D1B" w:rsidRPr="00E1384B" w:rsidRDefault="00C14D1B" w:rsidP="0007726E">
      <w:pPr>
        <w:rPr>
          <w:lang w:val="es-ES"/>
        </w:rPr>
      </w:pPr>
    </w:p>
    <w:p w14:paraId="4906E229" w14:textId="78924FCD" w:rsidR="009A3452" w:rsidRDefault="009A3452" w:rsidP="009A3452">
      <w:pPr>
        <w:pStyle w:val="Ttulo2"/>
        <w:rPr>
          <w:lang w:val="es-ES"/>
        </w:rPr>
      </w:pPr>
      <w:r>
        <w:rPr>
          <w:lang w:val="es-ES"/>
        </w:rPr>
        <w:lastRenderedPageBreak/>
        <w:t>Estimación por efectos fijos</w:t>
      </w:r>
    </w:p>
    <w:p w14:paraId="200C556C" w14:textId="5FF66A58"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t xml:space="preserve">Tabla </w:t>
      </w:r>
      <w:r>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0B497BDF" w:rsidR="009A3452" w:rsidRDefault="009A3452" w:rsidP="009A3452">
      <w:pPr>
        <w:pStyle w:val="Descripcin"/>
        <w:keepNext/>
      </w:pPr>
      <w:bookmarkStart w:id="22" w:name="_Ref6347319"/>
      <w:r>
        <w:t xml:space="preserve">Tabla </w:t>
      </w:r>
      <w:r>
        <w:fldChar w:fldCharType="begin"/>
      </w:r>
      <w:r>
        <w:instrText xml:space="preserve"> SEQ Tabla \* ARABIC </w:instrText>
      </w:r>
      <w:r>
        <w:fldChar w:fldCharType="separate"/>
      </w:r>
      <w:r>
        <w:rPr>
          <w:noProof/>
        </w:rPr>
        <w:t>7</w:t>
      </w:r>
      <w:r>
        <w:fldChar w:fldCharType="end"/>
      </w:r>
      <w:bookmarkEnd w:id="22"/>
      <w:r>
        <w:t>: Estimación por efectos fijos a nivel de estación y de tiempo</w:t>
      </w:r>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931ADC">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931ADC">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
        </w:tc>
        <w:tc>
          <w:tcPr>
            <w:tcW w:w="1106" w:type="dxa"/>
            <w:tcBorders>
              <w:right w:val="nil"/>
            </w:tcBorders>
            <w:hideMark/>
          </w:tcPr>
          <w:p w14:paraId="4D790C3E" w14:textId="77777777" w:rsidR="009A3452" w:rsidRPr="00F2093F" w:rsidRDefault="009A3452" w:rsidP="00931ADC">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931ADC">
            <w:pPr>
              <w:keepNext/>
              <w:spacing w:after="0" w:line="240" w:lineRule="auto"/>
              <w:jc w:val="left"/>
              <w:rPr>
                <w:rFonts w:asciiTheme="majorHAnsi" w:hAnsiTheme="majorHAnsi" w:cstheme="majorHAnsi"/>
                <w:sz w:val="18"/>
                <w:szCs w:val="18"/>
              </w:rPr>
            </w:pPr>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
        </w:tc>
        <w:tc>
          <w:tcPr>
            <w:tcW w:w="1106" w:type="dxa"/>
            <w:tcBorders>
              <w:right w:val="nil"/>
            </w:tcBorders>
            <w:hideMark/>
          </w:tcPr>
          <w:p w14:paraId="45D08DBE" w14:textId="77777777" w:rsidR="009A3452" w:rsidRPr="00F2093F" w:rsidRDefault="009A3452" w:rsidP="00931ADC">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
        </w:tc>
        <w:tc>
          <w:tcPr>
            <w:tcW w:w="1106" w:type="dxa"/>
            <w:tcBorders>
              <w:right w:val="nil"/>
            </w:tcBorders>
            <w:hideMark/>
          </w:tcPr>
          <w:p w14:paraId="1CF289D4" w14:textId="77777777" w:rsidR="009A3452" w:rsidRPr="00F2093F" w:rsidRDefault="009A3452" w:rsidP="00931ADC">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
        </w:tc>
        <w:tc>
          <w:tcPr>
            <w:tcW w:w="1106" w:type="dxa"/>
            <w:tcBorders>
              <w:right w:val="nil"/>
            </w:tcBorders>
            <w:hideMark/>
          </w:tcPr>
          <w:p w14:paraId="21362A57" w14:textId="77777777" w:rsidR="009A3452" w:rsidRPr="00F2093F" w:rsidRDefault="009A3452" w:rsidP="00931ADC">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931ADC">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931ADC">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931ADC">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931ADC">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R2 adj</w:t>
            </w:r>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931ADC">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931ADC">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931ADC">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931ADC">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931ADC">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931ADC">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931ADC">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931ADC">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931ADC">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931ADC">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r>
        <w:rPr>
          <w:lang w:val="es-ES"/>
        </w:rPr>
        <w:lastRenderedPageBreak/>
        <w:t>Conclusiones y recomendaciones</w:t>
      </w:r>
      <w:r>
        <w:rPr>
          <w:lang w:val="es-ES"/>
        </w:rPr>
        <w:br w:type="page"/>
      </w:r>
    </w:p>
    <w:p w14:paraId="5863AF65" w14:textId="514DEA4B" w:rsidR="005104A3" w:rsidRPr="00A815AC" w:rsidRDefault="005104A3" w:rsidP="00A314E8">
      <w:pPr>
        <w:pStyle w:val="Ttulo1"/>
        <w:numPr>
          <w:ilvl w:val="0"/>
          <w:numId w:val="0"/>
        </w:numPr>
        <w:rPr>
          <w:lang w:val="es-ES"/>
        </w:rPr>
      </w:pPr>
      <w:bookmarkStart w:id="23" w:name="_GoBack"/>
      <w:bookmarkEnd w:id="23"/>
      <w:r w:rsidRPr="00A815AC">
        <w:rPr>
          <w:lang w:val="es-ES"/>
        </w:rPr>
        <w:lastRenderedPageBreak/>
        <w:t>Bibliografía</w:t>
      </w:r>
    </w:p>
    <w:p w14:paraId="44A0D316" w14:textId="77777777" w:rsidR="00EE471F" w:rsidRPr="00EE471F" w:rsidRDefault="005104A3" w:rsidP="00EE471F">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r w:rsidR="00EE471F" w:rsidRPr="00EE471F">
        <w:rPr>
          <w:rFonts w:ascii="Times New Roman" w:hAnsi="Times New Roman"/>
          <w:lang w:val="en-US"/>
        </w:rPr>
        <w:t xml:space="preserve">Alderighi, M., &amp; Baudino, M. (2015). The pricing behavior of Italian gas stations: Some evidence from the Cuneo retail fuel market. </w:t>
      </w:r>
      <w:r w:rsidR="00EE471F" w:rsidRPr="00EE471F">
        <w:rPr>
          <w:rFonts w:ascii="Times New Roman" w:hAnsi="Times New Roman"/>
          <w:i/>
          <w:iCs/>
          <w:lang w:val="en-US"/>
        </w:rPr>
        <w:t>Energy Economics</w:t>
      </w:r>
      <w:r w:rsidR="00EE471F" w:rsidRPr="00EE471F">
        <w:rPr>
          <w:rFonts w:ascii="Times New Roman" w:hAnsi="Times New Roman"/>
          <w:lang w:val="en-US"/>
        </w:rPr>
        <w:t xml:space="preserve">, </w:t>
      </w:r>
      <w:r w:rsidR="00EE471F" w:rsidRPr="00EE471F">
        <w:rPr>
          <w:rFonts w:ascii="Times New Roman" w:hAnsi="Times New Roman"/>
          <w:i/>
          <w:iCs/>
          <w:lang w:val="en-US"/>
        </w:rPr>
        <w:t>50</w:t>
      </w:r>
      <w:r w:rsidR="00EE471F" w:rsidRPr="00EE471F">
        <w:rPr>
          <w:rFonts w:ascii="Times New Roman" w:hAnsi="Times New Roman"/>
          <w:lang w:val="en-US"/>
        </w:rPr>
        <w:t>, 33-46. https://doi.org/10.1016/j.eneco.2015.04.017</w:t>
      </w:r>
    </w:p>
    <w:p w14:paraId="68CED572"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Anselin, L. (2013). </w:t>
      </w:r>
      <w:r w:rsidRPr="00EE471F">
        <w:rPr>
          <w:rFonts w:ascii="Times New Roman" w:hAnsi="Times New Roman"/>
          <w:i/>
          <w:iCs/>
          <w:lang w:val="en-US"/>
        </w:rPr>
        <w:t>Spatial econometrics: methods and models</w:t>
      </w:r>
      <w:r w:rsidRPr="00EE471F">
        <w:rPr>
          <w:rFonts w:ascii="Times New Roman" w:hAnsi="Times New Roman"/>
          <w:lang w:val="en-US"/>
        </w:rPr>
        <w:t xml:space="preserve"> (Vol. 4). Springer Science &amp; Business Media.</w:t>
      </w:r>
    </w:p>
    <w:p w14:paraId="61DF6A2D" w14:textId="77777777" w:rsidR="00EE471F" w:rsidRPr="00EE471F" w:rsidRDefault="00EE471F" w:rsidP="00EE471F">
      <w:pPr>
        <w:pStyle w:val="Bibliografa"/>
        <w:rPr>
          <w:rFonts w:ascii="Times New Roman" w:hAnsi="Times New Roman"/>
        </w:rPr>
      </w:pPr>
      <w:r w:rsidRPr="00EE471F">
        <w:rPr>
          <w:rFonts w:ascii="Times New Roman" w:hAnsi="Times New Roman"/>
          <w:lang w:val="en-US"/>
        </w:rPr>
        <w:t xml:space="preserve">Anselin, L., Bera, A. K., Florax, R., &amp; Yoon, M. J. (1996). Simple diagnostic tests for spatial dependence. </w:t>
      </w:r>
      <w:r w:rsidRPr="00EE471F">
        <w:rPr>
          <w:rFonts w:ascii="Times New Roman" w:hAnsi="Times New Roman"/>
          <w:i/>
          <w:iCs/>
        </w:rPr>
        <w:t>Regional Science and Urban Economics</w:t>
      </w:r>
      <w:r w:rsidRPr="00EE471F">
        <w:rPr>
          <w:rFonts w:ascii="Times New Roman" w:hAnsi="Times New Roman"/>
        </w:rPr>
        <w:t xml:space="preserve">, </w:t>
      </w:r>
      <w:r w:rsidRPr="00EE471F">
        <w:rPr>
          <w:rFonts w:ascii="Times New Roman" w:hAnsi="Times New Roman"/>
          <w:i/>
          <w:iCs/>
        </w:rPr>
        <w:t>26</w:t>
      </w:r>
      <w:r w:rsidRPr="00EE471F">
        <w:rPr>
          <w:rFonts w:ascii="Times New Roman" w:hAnsi="Times New Roman"/>
        </w:rPr>
        <w:t>(1), 77-104. https://doi.org/10.1016/0166-0462(95)02111-6</w:t>
      </w:r>
    </w:p>
    <w:p w14:paraId="52F9328A" w14:textId="77777777" w:rsidR="00EE471F" w:rsidRPr="00EE471F" w:rsidRDefault="00EE471F" w:rsidP="00EE471F">
      <w:pPr>
        <w:pStyle w:val="Bibliografa"/>
        <w:rPr>
          <w:rFonts w:ascii="Times New Roman" w:hAnsi="Times New Roman"/>
          <w:lang w:val="en-US"/>
        </w:rPr>
      </w:pPr>
      <w:r w:rsidRPr="00EE471F">
        <w:rPr>
          <w:rFonts w:ascii="Times New Roman" w:hAnsi="Times New Roman"/>
        </w:rPr>
        <w:t xml:space="preserve">Aurazo Iglesias, J. G., &amp; Rojas Milla, P. C. (2018). </w:t>
      </w:r>
      <w:r w:rsidRPr="00EE471F">
        <w:rPr>
          <w:rFonts w:ascii="Times New Roman" w:hAnsi="Times New Roman"/>
          <w:i/>
          <w:iCs/>
        </w:rPr>
        <w:t>Modelo de competencia espacial: una aplicación al mercado retail del GNV en el Perú</w:t>
      </w:r>
      <w:r w:rsidRPr="00EE471F">
        <w:rPr>
          <w:rFonts w:ascii="Times New Roman" w:hAnsi="Times New Roman"/>
        </w:rPr>
        <w:t xml:space="preserve">. </w:t>
      </w:r>
      <w:r w:rsidRPr="00EE471F">
        <w:rPr>
          <w:rFonts w:ascii="Times New Roman" w:hAnsi="Times New Roman"/>
          <w:lang w:val="en-US"/>
        </w:rPr>
        <w:t>Perú.</w:t>
      </w:r>
    </w:p>
    <w:p w14:paraId="3D14AB14"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Byrne, P. F. (2010). </w:t>
      </w:r>
      <w:r w:rsidRPr="00EE471F">
        <w:rPr>
          <w:rFonts w:ascii="Times New Roman" w:hAnsi="Times New Roman"/>
          <w:i/>
          <w:iCs/>
          <w:lang w:val="en-US"/>
        </w:rPr>
        <w:t>Geographic Competition in the Retail Gasoline Market: Who are a gas station’s competitors?</w:t>
      </w:r>
      <w:r w:rsidRPr="00EE471F">
        <w:rPr>
          <w:rFonts w:ascii="Times New Roman" w:hAnsi="Times New Roman"/>
          <w:lang w:val="en-US"/>
        </w:rPr>
        <w:t xml:space="preserve"> (2), 23.</w:t>
      </w:r>
    </w:p>
    <w:p w14:paraId="5CF3FB07"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Chung, Y., &amp; Park, H. (2014). Analysis of Spatial Interaction Effect of Retail Gasoline Price in Seoul. </w:t>
      </w:r>
      <w:r w:rsidRPr="00EE471F">
        <w:rPr>
          <w:rFonts w:ascii="Times New Roman" w:hAnsi="Times New Roman"/>
          <w:i/>
          <w:iCs/>
          <w:lang w:val="en-US"/>
        </w:rPr>
        <w:t>Korea and the World Economy</w:t>
      </w:r>
      <w:r w:rsidRPr="00EE471F">
        <w:rPr>
          <w:rFonts w:ascii="Times New Roman" w:hAnsi="Times New Roman"/>
          <w:lang w:val="en-US"/>
        </w:rPr>
        <w:t xml:space="preserve">, </w:t>
      </w:r>
      <w:r w:rsidRPr="00EE471F">
        <w:rPr>
          <w:rFonts w:ascii="Times New Roman" w:hAnsi="Times New Roman"/>
          <w:i/>
          <w:iCs/>
          <w:lang w:val="en-US"/>
        </w:rPr>
        <w:t>15</w:t>
      </w:r>
      <w:r w:rsidRPr="00EE471F">
        <w:rPr>
          <w:rFonts w:ascii="Times New Roman" w:hAnsi="Times New Roman"/>
          <w:lang w:val="en-US"/>
        </w:rPr>
        <w:t>(2), 209–241.</w:t>
      </w:r>
    </w:p>
    <w:p w14:paraId="16F21071"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Clemenz, G., &amp; Gugler, K. (2006). Locational choice and price competition: some empirical results for the austrian retail gasoline market. </w:t>
      </w:r>
      <w:r w:rsidRPr="00EE471F">
        <w:rPr>
          <w:rFonts w:ascii="Times New Roman" w:hAnsi="Times New Roman"/>
          <w:i/>
          <w:iCs/>
          <w:lang w:val="en-US"/>
        </w:rPr>
        <w:t>Empirical Economics</w:t>
      </w:r>
      <w:r w:rsidRPr="00EE471F">
        <w:rPr>
          <w:rFonts w:ascii="Times New Roman" w:hAnsi="Times New Roman"/>
          <w:lang w:val="en-US"/>
        </w:rPr>
        <w:t xml:space="preserve">, </w:t>
      </w:r>
      <w:r w:rsidRPr="00EE471F">
        <w:rPr>
          <w:rFonts w:ascii="Times New Roman" w:hAnsi="Times New Roman"/>
          <w:i/>
          <w:iCs/>
          <w:lang w:val="en-US"/>
        </w:rPr>
        <w:t>31</w:t>
      </w:r>
      <w:r w:rsidRPr="00EE471F">
        <w:rPr>
          <w:rFonts w:ascii="Times New Roman" w:hAnsi="Times New Roman"/>
          <w:lang w:val="en-US"/>
        </w:rPr>
        <w:t>(2), 291-312. https://doi.org/10.1007/s00181-005-0016-7</w:t>
      </w:r>
    </w:p>
    <w:p w14:paraId="5F6D6ACF"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Dale, P. (2004). </w:t>
      </w:r>
      <w:r w:rsidRPr="00EE471F">
        <w:rPr>
          <w:rFonts w:ascii="Times New Roman" w:hAnsi="Times New Roman"/>
          <w:i/>
          <w:iCs/>
          <w:lang w:val="en-US"/>
        </w:rPr>
        <w:t>Introduction to Mathematical Techniques used in GIS</w:t>
      </w:r>
      <w:r w:rsidRPr="00EE471F">
        <w:rPr>
          <w:rFonts w:ascii="Times New Roman" w:hAnsi="Times New Roman"/>
          <w:lang w:val="en-US"/>
        </w:rPr>
        <w:t>. CRC Press.</w:t>
      </w:r>
    </w:p>
    <w:p w14:paraId="03A7640A"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Eckert, A., &amp; West, D. S. (2005). Price uniformity and competition in a retail gasoline market. </w:t>
      </w:r>
      <w:r w:rsidRPr="00EE471F">
        <w:rPr>
          <w:rFonts w:ascii="Times New Roman" w:hAnsi="Times New Roman"/>
          <w:i/>
          <w:iCs/>
          <w:lang w:val="en-US"/>
        </w:rPr>
        <w:t>Journal of Economic Behavior &amp; Organization</w:t>
      </w:r>
      <w:r w:rsidRPr="00EE471F">
        <w:rPr>
          <w:rFonts w:ascii="Times New Roman" w:hAnsi="Times New Roman"/>
          <w:lang w:val="en-US"/>
        </w:rPr>
        <w:t xml:space="preserve">, </w:t>
      </w:r>
      <w:r w:rsidRPr="00EE471F">
        <w:rPr>
          <w:rFonts w:ascii="Times New Roman" w:hAnsi="Times New Roman"/>
          <w:i/>
          <w:iCs/>
          <w:lang w:val="en-US"/>
        </w:rPr>
        <w:t>56</w:t>
      </w:r>
      <w:r w:rsidRPr="00EE471F">
        <w:rPr>
          <w:rFonts w:ascii="Times New Roman" w:hAnsi="Times New Roman"/>
          <w:lang w:val="en-US"/>
        </w:rPr>
        <w:t>(2), 219-237. https://doi.org/10.1016/j.jebo.2003.09.006</w:t>
      </w:r>
    </w:p>
    <w:p w14:paraId="47B58922"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Elhorst, J. P. (2010). Applied Spatial Econometrics: Raising the Bar. </w:t>
      </w:r>
      <w:r w:rsidRPr="00EE471F">
        <w:rPr>
          <w:rFonts w:ascii="Times New Roman" w:hAnsi="Times New Roman"/>
          <w:i/>
          <w:iCs/>
          <w:lang w:val="en-US"/>
        </w:rPr>
        <w:t>Spatial Economic Analysis</w:t>
      </w:r>
      <w:r w:rsidRPr="00EE471F">
        <w:rPr>
          <w:rFonts w:ascii="Times New Roman" w:hAnsi="Times New Roman"/>
          <w:lang w:val="en-US"/>
        </w:rPr>
        <w:t xml:space="preserve">, </w:t>
      </w:r>
      <w:r w:rsidRPr="00EE471F">
        <w:rPr>
          <w:rFonts w:ascii="Times New Roman" w:hAnsi="Times New Roman"/>
          <w:i/>
          <w:iCs/>
          <w:lang w:val="en-US"/>
        </w:rPr>
        <w:t>5</w:t>
      </w:r>
      <w:r w:rsidRPr="00EE471F">
        <w:rPr>
          <w:rFonts w:ascii="Times New Roman" w:hAnsi="Times New Roman"/>
          <w:lang w:val="en-US"/>
        </w:rPr>
        <w:t>(1), 9-28. https://doi.org/10.1080/17421770903541772</w:t>
      </w:r>
    </w:p>
    <w:p w14:paraId="1A5AAB5B"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Fingleton, B., &amp; Le Gallo, J. (2008). Estimating spatial models with endogenous variables, a spatial lag and spatially dependent disturbances: finite sample properties. </w:t>
      </w:r>
      <w:r w:rsidRPr="00EE471F">
        <w:rPr>
          <w:rFonts w:ascii="Times New Roman" w:hAnsi="Times New Roman"/>
          <w:i/>
          <w:iCs/>
          <w:lang w:val="en-US"/>
        </w:rPr>
        <w:t>Papers in Regional Science</w:t>
      </w:r>
      <w:r w:rsidRPr="00EE471F">
        <w:rPr>
          <w:rFonts w:ascii="Times New Roman" w:hAnsi="Times New Roman"/>
          <w:lang w:val="en-US"/>
        </w:rPr>
        <w:t xml:space="preserve">, </w:t>
      </w:r>
      <w:r w:rsidRPr="00EE471F">
        <w:rPr>
          <w:rFonts w:ascii="Times New Roman" w:hAnsi="Times New Roman"/>
          <w:i/>
          <w:iCs/>
          <w:lang w:val="en-US"/>
        </w:rPr>
        <w:t>87</w:t>
      </w:r>
      <w:r w:rsidRPr="00EE471F">
        <w:rPr>
          <w:rFonts w:ascii="Times New Roman" w:hAnsi="Times New Roman"/>
          <w:lang w:val="en-US"/>
        </w:rPr>
        <w:t>(3), 319–339.</w:t>
      </w:r>
    </w:p>
    <w:p w14:paraId="236C78E8"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Hastings, J. S. (2004). Vertical Relationships and Competition in Retail Gasoline Markets: Empirical Evidence from Contract Changes in Southern California. </w:t>
      </w:r>
      <w:r w:rsidRPr="00EE471F">
        <w:rPr>
          <w:rFonts w:ascii="Times New Roman" w:hAnsi="Times New Roman"/>
          <w:i/>
          <w:iCs/>
          <w:lang w:val="en-US"/>
        </w:rPr>
        <w:t>The American Economic Review</w:t>
      </w:r>
      <w:r w:rsidRPr="00EE471F">
        <w:rPr>
          <w:rFonts w:ascii="Times New Roman" w:hAnsi="Times New Roman"/>
          <w:lang w:val="en-US"/>
        </w:rPr>
        <w:t xml:space="preserve">, </w:t>
      </w:r>
      <w:r w:rsidRPr="00EE471F">
        <w:rPr>
          <w:rFonts w:ascii="Times New Roman" w:hAnsi="Times New Roman"/>
          <w:i/>
          <w:iCs/>
          <w:lang w:val="en-US"/>
        </w:rPr>
        <w:t>94</w:t>
      </w:r>
      <w:r w:rsidRPr="00EE471F">
        <w:rPr>
          <w:rFonts w:ascii="Times New Roman" w:hAnsi="Times New Roman"/>
          <w:lang w:val="en-US"/>
        </w:rPr>
        <w:t>(1), 317-328. Recuperado de https://www.jstor.org/stable/3592781</w:t>
      </w:r>
    </w:p>
    <w:p w14:paraId="136734A0"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Houde, J.-F. (2012). Spatial Differentiation and Vertical Mergers in Retail Markets for Gasoline. </w:t>
      </w:r>
      <w:r w:rsidRPr="00EE471F">
        <w:rPr>
          <w:rFonts w:ascii="Times New Roman" w:hAnsi="Times New Roman"/>
          <w:i/>
          <w:iCs/>
          <w:lang w:val="en-US"/>
        </w:rPr>
        <w:t>American Economic Review</w:t>
      </w:r>
      <w:r w:rsidRPr="00EE471F">
        <w:rPr>
          <w:rFonts w:ascii="Times New Roman" w:hAnsi="Times New Roman"/>
          <w:lang w:val="en-US"/>
        </w:rPr>
        <w:t xml:space="preserve">, </w:t>
      </w:r>
      <w:r w:rsidRPr="00EE471F">
        <w:rPr>
          <w:rFonts w:ascii="Times New Roman" w:hAnsi="Times New Roman"/>
          <w:i/>
          <w:iCs/>
          <w:lang w:val="en-US"/>
        </w:rPr>
        <w:t>102</w:t>
      </w:r>
      <w:r w:rsidRPr="00EE471F">
        <w:rPr>
          <w:rFonts w:ascii="Times New Roman" w:hAnsi="Times New Roman"/>
          <w:lang w:val="en-US"/>
        </w:rPr>
        <w:t>(5), 2147-2182. https://doi.org/10.1257/aer.102.5.2147</w:t>
      </w:r>
    </w:p>
    <w:p w14:paraId="795A9784"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LeSage, J., &amp; Pace, R. K. (2009). </w:t>
      </w:r>
      <w:r w:rsidRPr="00EE471F">
        <w:rPr>
          <w:rFonts w:ascii="Times New Roman" w:hAnsi="Times New Roman"/>
          <w:i/>
          <w:iCs/>
          <w:lang w:val="en-US"/>
        </w:rPr>
        <w:t>Introduction to spatial econometrics</w:t>
      </w:r>
      <w:r w:rsidRPr="00EE471F">
        <w:rPr>
          <w:rFonts w:ascii="Times New Roman" w:hAnsi="Times New Roman"/>
          <w:lang w:val="en-US"/>
        </w:rPr>
        <w:t>. Chapman and Hall/CRC.</w:t>
      </w:r>
    </w:p>
    <w:p w14:paraId="2373A867" w14:textId="77777777" w:rsidR="00EE471F" w:rsidRPr="00EE471F" w:rsidRDefault="00EE471F" w:rsidP="00EE471F">
      <w:pPr>
        <w:pStyle w:val="Bibliografa"/>
        <w:rPr>
          <w:rFonts w:ascii="Times New Roman" w:hAnsi="Times New Roman"/>
        </w:rPr>
      </w:pPr>
      <w:r w:rsidRPr="00EE471F">
        <w:rPr>
          <w:rFonts w:ascii="Times New Roman" w:hAnsi="Times New Roman"/>
        </w:rPr>
        <w:t xml:space="preserve">Lima Cómo Vamos. (2018). </w:t>
      </w:r>
      <w:r w:rsidRPr="00EE471F">
        <w:rPr>
          <w:rFonts w:ascii="Times New Roman" w:hAnsi="Times New Roman"/>
          <w:i/>
          <w:iCs/>
        </w:rPr>
        <w:t>Encuesta Lima Cómo Vamos 2018</w:t>
      </w:r>
      <w:r w:rsidRPr="00EE471F">
        <w:rPr>
          <w:rFonts w:ascii="Times New Roman" w:hAnsi="Times New Roman"/>
        </w:rPr>
        <w:t xml:space="preserve"> [Encuesta]. Recuperado de http://www.limacomovamos.org/cm/wp-content/uploads/2018/12/EncuestaLimaComoVamos2018.pdf</w:t>
      </w:r>
    </w:p>
    <w:p w14:paraId="27103E3A"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Manski, C. F. (1993). Identification of endogenous social effects: The reflection problem. </w:t>
      </w:r>
      <w:r w:rsidRPr="00EE471F">
        <w:rPr>
          <w:rFonts w:ascii="Times New Roman" w:hAnsi="Times New Roman"/>
          <w:i/>
          <w:iCs/>
          <w:lang w:val="en-US"/>
        </w:rPr>
        <w:t>The review of economic studies</w:t>
      </w:r>
      <w:r w:rsidRPr="00EE471F">
        <w:rPr>
          <w:rFonts w:ascii="Times New Roman" w:hAnsi="Times New Roman"/>
          <w:lang w:val="en-US"/>
        </w:rPr>
        <w:t xml:space="preserve">, </w:t>
      </w:r>
      <w:r w:rsidRPr="00EE471F">
        <w:rPr>
          <w:rFonts w:ascii="Times New Roman" w:hAnsi="Times New Roman"/>
          <w:i/>
          <w:iCs/>
          <w:lang w:val="en-US"/>
        </w:rPr>
        <w:t>60</w:t>
      </w:r>
      <w:r w:rsidRPr="00EE471F">
        <w:rPr>
          <w:rFonts w:ascii="Times New Roman" w:hAnsi="Times New Roman"/>
          <w:lang w:val="en-US"/>
        </w:rPr>
        <w:t>(3), 531–542.</w:t>
      </w:r>
    </w:p>
    <w:p w14:paraId="35300380"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Manuszak, M. D. (2010). Predicting the impact of upstream mergers on downstream markets with an application to the retail gasoline industry. </w:t>
      </w:r>
      <w:r w:rsidRPr="00EE471F">
        <w:rPr>
          <w:rFonts w:ascii="Times New Roman" w:hAnsi="Times New Roman"/>
          <w:i/>
          <w:iCs/>
          <w:lang w:val="en-US"/>
        </w:rPr>
        <w:t>International Journal of Industrial Organization</w:t>
      </w:r>
      <w:r w:rsidRPr="00EE471F">
        <w:rPr>
          <w:rFonts w:ascii="Times New Roman" w:hAnsi="Times New Roman"/>
          <w:lang w:val="en-US"/>
        </w:rPr>
        <w:t xml:space="preserve">, </w:t>
      </w:r>
      <w:r w:rsidRPr="00EE471F">
        <w:rPr>
          <w:rFonts w:ascii="Times New Roman" w:hAnsi="Times New Roman"/>
          <w:i/>
          <w:iCs/>
          <w:lang w:val="en-US"/>
        </w:rPr>
        <w:t>28</w:t>
      </w:r>
      <w:r w:rsidRPr="00EE471F">
        <w:rPr>
          <w:rFonts w:ascii="Times New Roman" w:hAnsi="Times New Roman"/>
          <w:lang w:val="en-US"/>
        </w:rPr>
        <w:t>(1), 99-111. https://doi.org/10.1016/j.ijindorg.2009.07.002</w:t>
      </w:r>
    </w:p>
    <w:p w14:paraId="0E030378" w14:textId="77777777" w:rsidR="00EE471F" w:rsidRPr="00EE471F" w:rsidRDefault="00EE471F" w:rsidP="00EE471F">
      <w:pPr>
        <w:pStyle w:val="Bibliografa"/>
        <w:rPr>
          <w:rFonts w:ascii="Times New Roman" w:hAnsi="Times New Roman"/>
        </w:rPr>
      </w:pPr>
      <w:r w:rsidRPr="00EE471F">
        <w:rPr>
          <w:rFonts w:ascii="Times New Roman" w:hAnsi="Times New Roman"/>
        </w:rPr>
        <w:lastRenderedPageBreak/>
        <w:t xml:space="preserve">Organismo Supervisor de la Inversión en Energía y Minería. (2015). </w:t>
      </w:r>
      <w:r w:rsidRPr="00EE471F">
        <w:rPr>
          <w:rFonts w:ascii="Times New Roman" w:hAnsi="Times New Roman"/>
          <w:i/>
          <w:iCs/>
        </w:rPr>
        <w:t>La industria de los hidrocarburos líquidos en el Perú: 20 años de aporte al desarrollo del país</w:t>
      </w:r>
      <w:r w:rsidRPr="00EE471F">
        <w:rPr>
          <w:rFonts w:ascii="Times New Roman" w:hAnsi="Times New Roman"/>
        </w:rPr>
        <w:t>. Recuperado de http://www.osinergmin.gob.pe/seccion/centro_documental/Institucional/Estudios_Economicos/Libros/Libro-industria-hidrocarburos-liquidos-Peru.pdf</w:t>
      </w:r>
    </w:p>
    <w:p w14:paraId="24A8CE63"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Pennerstorfer, D. (2009). Spatial price competition in retail gasoline markets: evidence from Austria. </w:t>
      </w:r>
      <w:r w:rsidRPr="00EE471F">
        <w:rPr>
          <w:rFonts w:ascii="Times New Roman" w:hAnsi="Times New Roman"/>
          <w:i/>
          <w:iCs/>
          <w:lang w:val="en-US"/>
        </w:rPr>
        <w:t>The Annals of Regional Science</w:t>
      </w:r>
      <w:r w:rsidRPr="00EE471F">
        <w:rPr>
          <w:rFonts w:ascii="Times New Roman" w:hAnsi="Times New Roman"/>
          <w:lang w:val="en-US"/>
        </w:rPr>
        <w:t xml:space="preserve">, </w:t>
      </w:r>
      <w:r w:rsidRPr="00EE471F">
        <w:rPr>
          <w:rFonts w:ascii="Times New Roman" w:hAnsi="Times New Roman"/>
          <w:i/>
          <w:iCs/>
          <w:lang w:val="en-US"/>
        </w:rPr>
        <w:t>43</w:t>
      </w:r>
      <w:r w:rsidRPr="00EE471F">
        <w:rPr>
          <w:rFonts w:ascii="Times New Roman" w:hAnsi="Times New Roman"/>
          <w:lang w:val="en-US"/>
        </w:rPr>
        <w:t>(1), 133-158. https://doi.org/10.1007/s00168-007-0206-7</w:t>
      </w:r>
    </w:p>
    <w:p w14:paraId="7B0283DA"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Pennerstorfer, D., &amp; Weiss, C. (2013). Spatial clustering and market power: Evidence from the retail gasoline market. </w:t>
      </w:r>
      <w:r w:rsidRPr="00EE471F">
        <w:rPr>
          <w:rFonts w:ascii="Times New Roman" w:hAnsi="Times New Roman"/>
          <w:i/>
          <w:iCs/>
          <w:lang w:val="en-US"/>
        </w:rPr>
        <w:t>Regional Science and Urban Economics</w:t>
      </w:r>
      <w:r w:rsidRPr="00EE471F">
        <w:rPr>
          <w:rFonts w:ascii="Times New Roman" w:hAnsi="Times New Roman"/>
          <w:lang w:val="en-US"/>
        </w:rPr>
        <w:t xml:space="preserve">, </w:t>
      </w:r>
      <w:r w:rsidRPr="00EE471F">
        <w:rPr>
          <w:rFonts w:ascii="Times New Roman" w:hAnsi="Times New Roman"/>
          <w:i/>
          <w:iCs/>
          <w:lang w:val="en-US"/>
        </w:rPr>
        <w:t>43</w:t>
      </w:r>
      <w:r w:rsidRPr="00EE471F">
        <w:rPr>
          <w:rFonts w:ascii="Times New Roman" w:hAnsi="Times New Roman"/>
          <w:lang w:val="en-US"/>
        </w:rPr>
        <w:t>(4), 661-675. https://doi.org/10.1016/j.regsciurbeco.2013.04.002</w:t>
      </w:r>
    </w:p>
    <w:p w14:paraId="2A8944DF" w14:textId="77777777" w:rsidR="00EE471F" w:rsidRPr="00EE471F" w:rsidRDefault="00EE471F" w:rsidP="00EE471F">
      <w:pPr>
        <w:pStyle w:val="Bibliografa"/>
        <w:rPr>
          <w:rFonts w:ascii="Times New Roman" w:hAnsi="Times New Roman"/>
          <w:lang w:val="en-US"/>
        </w:rPr>
      </w:pPr>
      <w:r w:rsidRPr="00EE471F">
        <w:rPr>
          <w:rFonts w:ascii="Times New Roman" w:hAnsi="Times New Roman"/>
        </w:rPr>
        <w:t xml:space="preserve">Pintado, A. B., &amp; Contín-Pilart, I. (2010). Influencia de los factores de localización en la fijación de los precios de los carburantes de automoción en España. </w:t>
      </w:r>
      <w:r w:rsidRPr="00EE471F">
        <w:rPr>
          <w:rFonts w:ascii="Times New Roman" w:hAnsi="Times New Roman"/>
          <w:i/>
          <w:iCs/>
          <w:lang w:val="en-US"/>
        </w:rPr>
        <w:t>Cuadernos económicos de ICE</w:t>
      </w:r>
      <w:r w:rsidRPr="00EE471F">
        <w:rPr>
          <w:rFonts w:ascii="Times New Roman" w:hAnsi="Times New Roman"/>
          <w:lang w:val="en-US"/>
        </w:rPr>
        <w:t>, (79).</w:t>
      </w:r>
    </w:p>
    <w:p w14:paraId="6F23F075" w14:textId="77777777" w:rsidR="00EE471F" w:rsidRPr="00EE471F" w:rsidRDefault="00EE471F" w:rsidP="00EE471F">
      <w:pPr>
        <w:pStyle w:val="Bibliografa"/>
        <w:rPr>
          <w:rFonts w:ascii="Times New Roman" w:hAnsi="Times New Roman"/>
          <w:lang w:val="en-US"/>
        </w:rPr>
      </w:pPr>
      <w:r w:rsidRPr="00EE471F">
        <w:rPr>
          <w:rFonts w:ascii="Times New Roman" w:hAnsi="Times New Roman"/>
          <w:lang w:val="en-US"/>
        </w:rPr>
        <w:t xml:space="preserve">Simpson, J., &amp; Taylor, C. (2008). Do Gasoline Mergers Affect Consumer Prices? The Marathon Ashland Petroleum and Ultramar Diamond Shamrock Transaction. </w:t>
      </w:r>
      <w:r w:rsidRPr="00EE471F">
        <w:rPr>
          <w:rFonts w:ascii="Times New Roman" w:hAnsi="Times New Roman"/>
          <w:i/>
          <w:iCs/>
          <w:lang w:val="en-US"/>
        </w:rPr>
        <w:t>The Journal of Law and Economics</w:t>
      </w:r>
      <w:r w:rsidRPr="00EE471F">
        <w:rPr>
          <w:rFonts w:ascii="Times New Roman" w:hAnsi="Times New Roman"/>
          <w:lang w:val="en-US"/>
        </w:rPr>
        <w:t xml:space="preserve">, </w:t>
      </w:r>
      <w:r w:rsidRPr="00EE471F">
        <w:rPr>
          <w:rFonts w:ascii="Times New Roman" w:hAnsi="Times New Roman"/>
          <w:i/>
          <w:iCs/>
          <w:lang w:val="en-US"/>
        </w:rPr>
        <w:t>51</w:t>
      </w:r>
      <w:r w:rsidRPr="00EE471F">
        <w:rPr>
          <w:rFonts w:ascii="Times New Roman" w:hAnsi="Times New Roman"/>
          <w:lang w:val="en-US"/>
        </w:rPr>
        <w:t>(1), 135-152. https://doi.org/10.1086/520004</w:t>
      </w:r>
    </w:p>
    <w:p w14:paraId="50CCA35A" w14:textId="77777777" w:rsidR="00EE471F" w:rsidRPr="00EE471F" w:rsidRDefault="00EE471F" w:rsidP="00EE471F">
      <w:pPr>
        <w:pStyle w:val="Bibliografa"/>
        <w:rPr>
          <w:rFonts w:ascii="Times New Roman" w:hAnsi="Times New Roman"/>
        </w:rPr>
      </w:pPr>
      <w:r w:rsidRPr="00EE471F">
        <w:rPr>
          <w:rFonts w:ascii="Times New Roman" w:hAnsi="Times New Roman"/>
          <w:lang w:val="en-US"/>
        </w:rPr>
        <w:t xml:space="preserve">Slade, M. E. (1992). Vancouver’s Gasoline-Price Wars: An Empirical Exercise in Uncovering Supergame Strategies. </w:t>
      </w:r>
      <w:r w:rsidRPr="00EE471F">
        <w:rPr>
          <w:rFonts w:ascii="Times New Roman" w:hAnsi="Times New Roman"/>
          <w:i/>
          <w:iCs/>
        </w:rPr>
        <w:t>The Review of Economic Studies</w:t>
      </w:r>
      <w:r w:rsidRPr="00EE471F">
        <w:rPr>
          <w:rFonts w:ascii="Times New Roman" w:hAnsi="Times New Roman"/>
        </w:rPr>
        <w:t xml:space="preserve">, </w:t>
      </w:r>
      <w:r w:rsidRPr="00EE471F">
        <w:rPr>
          <w:rFonts w:ascii="Times New Roman" w:hAnsi="Times New Roman"/>
          <w:i/>
          <w:iCs/>
        </w:rPr>
        <w:t>59</w:t>
      </w:r>
      <w:r w:rsidRPr="00EE471F">
        <w:rPr>
          <w:rFonts w:ascii="Times New Roman" w:hAnsi="Times New Roman"/>
        </w:rPr>
        <w:t>(2), 257. https://doi.org/10.2307/2297954</w:t>
      </w:r>
    </w:p>
    <w:p w14:paraId="326151A1" w14:textId="10E6259C" w:rsidR="005104A3" w:rsidRDefault="005104A3" w:rsidP="005104A3">
      <w:r>
        <w:fldChar w:fldCharType="end"/>
      </w:r>
    </w:p>
    <w:sectPr w:rsidR="005104A3" w:rsidSect="00170A3D">
      <w:headerReference w:type="default" r:id="rId14"/>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go Uriarte" w:date="2019-04-06T20:33:00Z" w:initials="DUC">
    <w:p w14:paraId="0FDC3CD3" w14:textId="62192590" w:rsidR="000E1B51" w:rsidRDefault="000E1B51" w:rsidP="00F57A1B">
      <w:pPr>
        <w:pStyle w:val="Textocomentario"/>
      </w:pPr>
      <w:r>
        <w:rPr>
          <w:rStyle w:val="Refdecomentario"/>
        </w:rPr>
        <w:annotationRef/>
      </w:r>
      <w:r>
        <w:t>Posibles ideas:</w:t>
      </w:r>
    </w:p>
    <w:p w14:paraId="11E58CD1" w14:textId="77777777" w:rsidR="000E1B51" w:rsidRDefault="000E1B51" w:rsidP="00F57A1B">
      <w:pPr>
        <w:pStyle w:val="Textocomentario"/>
      </w:pPr>
      <w:r>
        <w:t>-</w:t>
      </w:r>
      <w:r>
        <w:tab/>
        <w:t>Hablar precios establecidos en libre mercado y breve resumen de la historia del minoreo de combustible en el país</w:t>
      </w:r>
    </w:p>
    <w:p w14:paraId="2E57E539" w14:textId="77777777" w:rsidR="000E1B51" w:rsidRDefault="000E1B51" w:rsidP="00F57A1B">
      <w:pPr>
        <w:pStyle w:val="Textocomentario"/>
      </w:pPr>
      <w:r>
        <w:t>-</w:t>
      </w:r>
      <w:r>
        <w:tab/>
        <w:t>Quejas de usuarios porque las bajas en los precios de los combustibles no se trasladan igual de rápido</w:t>
      </w:r>
    </w:p>
    <w:p w14:paraId="79C2DDA6" w14:textId="7D01977E" w:rsidR="000E1B51" w:rsidRDefault="000E1B51" w:rsidP="00F57A1B">
      <w:pPr>
        <w:pStyle w:val="Textocomentario"/>
      </w:pPr>
      <w:r>
        <w:t>-</w:t>
      </w:r>
      <w:r>
        <w:tab/>
        <w:t>Las quejas están dirigidas a los productores, pero este es el caso? Asumimos que las grifos compiten perfectamente, productos homogenos, pero no necesarimanete</w:t>
      </w:r>
    </w:p>
  </w:comment>
  <w:comment w:id="1" w:author="Diego Uriarte" w:date="2019-04-06T20:22:00Z" w:initials="DUC">
    <w:p w14:paraId="011A51CC" w14:textId="77777777" w:rsidR="000E1B51" w:rsidRPr="0004424C" w:rsidRDefault="000E1B51" w:rsidP="00F57A1B">
      <w:pPr>
        <w:pStyle w:val="Textocomentario"/>
        <w:rPr>
          <w:lang w:val="en-US"/>
        </w:rPr>
      </w:pPr>
      <w:r>
        <w:rPr>
          <w:rStyle w:val="Refdecomentario"/>
        </w:rPr>
        <w:annotationRef/>
      </w:r>
      <w:r w:rsidRPr="0004424C">
        <w:rPr>
          <w:lang w:val="en-US"/>
        </w:rPr>
        <w:t>Tal como señala Hastings (2004)</w:t>
      </w:r>
    </w:p>
  </w:comment>
  <w:comment w:id="2" w:author="Diego Uriarte" w:date="2019-04-06T20:20:00Z" w:initials="DUC">
    <w:p w14:paraId="69C0C05F" w14:textId="77777777" w:rsidR="000E1B51" w:rsidRPr="007B4F71" w:rsidRDefault="000E1B51" w:rsidP="00F57A1B">
      <w:pPr>
        <w:pStyle w:val="Textocomentario"/>
        <w:rPr>
          <w:lang w:val="en-US"/>
        </w:rPr>
      </w:pPr>
      <w:r>
        <w:rPr>
          <w:rStyle w:val="Refdecomentario"/>
        </w:rPr>
        <w:annotationRef/>
      </w:r>
      <w:r w:rsidRPr="007B4F71">
        <w:rPr>
          <w:lang w:val="en-US"/>
        </w:rPr>
        <w:t>The assumption of a competitive market however ignores the spatial differentiation that results when consumers incur travel costs. By giving individual firms pricing power, spatial differentiation creates the potential for competing firms to engage in strategic interaction in their pricing decision. This study uses spatial econometrics to examine the extent to which this product" (Byrne 2010:23)"differentiating results in strategic interaction in the pricing decision of retail gas stations."</w:t>
      </w:r>
    </w:p>
  </w:comment>
  <w:comment w:id="3" w:author="Diego Uriarte" w:date="2019-04-07T14:04:00Z" w:initials="DUC">
    <w:p w14:paraId="49E8B1D4" w14:textId="194CE933" w:rsidR="000E1B51" w:rsidRDefault="000E1B51" w:rsidP="00F57A1B">
      <w:pPr>
        <w:pStyle w:val="Textocomentario"/>
      </w:pPr>
      <w:r>
        <w:rPr>
          <w:rStyle w:val="Refdecomentario"/>
        </w:rPr>
        <w:annotationRef/>
      </w:r>
      <w:r>
        <w:rPr>
          <w:rStyle w:val="Refdecomentario"/>
        </w:rPr>
        <w:t>Añadir comentario sobre estado de estudios con econmetría espacial en el país</w:t>
      </w:r>
    </w:p>
  </w:comment>
  <w:comment w:id="6" w:author="Diego Uriarte" w:date="2019-04-15T09:46:00Z" w:initials="DUC">
    <w:p w14:paraId="1F55049C" w14:textId="77777777" w:rsidR="000E1B51" w:rsidRDefault="000E1B51" w:rsidP="00137AA9">
      <w:pPr>
        <w:pStyle w:val="Textocomentario"/>
      </w:pPr>
      <w:r>
        <w:rPr>
          <w:rStyle w:val="Refdecomentario"/>
        </w:rPr>
        <w:annotationRef/>
      </w:r>
      <w:r>
        <w:rPr>
          <w:rStyle w:val="Refdecomentario"/>
        </w:rPr>
        <w:annotationRef/>
      </w:r>
      <w:r>
        <w:t>Eventualmente, gráfica como la del libro, mapa de lima, mostrar con colores que residuos espaciales están correlacioandos fig 1.2 y 1.3 del mapa</w:t>
      </w:r>
    </w:p>
    <w:p w14:paraId="61D66782" w14:textId="794DCE13" w:rsidR="000E1B51" w:rsidRDefault="000E1B51">
      <w:pPr>
        <w:pStyle w:val="Textocomentario"/>
      </w:pPr>
    </w:p>
  </w:comment>
  <w:comment w:id="12" w:author="Diego Uriarte" w:date="2019-04-07T22:13:00Z" w:initials="DUC">
    <w:p w14:paraId="75530A47" w14:textId="77777777" w:rsidR="000E1B51" w:rsidRDefault="000E1B51" w:rsidP="00103A41">
      <w:pPr>
        <w:pStyle w:val="Textocomentario"/>
      </w:pPr>
      <w:r>
        <w:rPr>
          <w:rStyle w:val="Refdecomentario"/>
        </w:rPr>
        <w:annotationRef/>
      </w:r>
      <w:r>
        <w:rPr>
          <w:rStyle w:val="Refdecomentario"/>
        </w:rPr>
        <w:annotationRef/>
      </w:r>
      <w:r w:rsidRPr="004E5926">
        <w:rPr>
          <w:lang w:val="en-US"/>
        </w:rPr>
        <w:t xml:space="preserve">"The Italian fuel sector The structure of the Italian fuel sector is similar to that of many Western countries: a few big vertically integrated oil companies control the entire production process, from the extraction of oil to the sale of the fuel at the pump.5 According to Unione Petrolifera (2011), the overall refining capacity, approximately 107 million tonnes in 2010, is guaranteed by 16 plants, with a utilization rate of about 84%. Oil extraction capacity on the national territory is generally poor. In 2010, total imports were 77.9 million tonnes, and Libya is the largest supplier (16.4 million tonnes). At the retail level, most of the branded stations are company-owned (i.e. thefirms are vertically-integrated with the parent brand), while a few are operated by an independent dealer. Branded stations compete against a few independent unbranded retailers (also known as'white pumps'). Such independent dealers often charge lower prices than branded stations (about 10-11 cents per liter). In Italy, white pumps cover less than 10% of the national market, while, in other European countries (the UK, Germany, and, in particular, France), they are more prevalent, covering over half of the retail market (Ravazzoni, 2010). This aspect provides an unusual characteristic to the Italian fuel sector when compared with other EU Countries, making it less competitive in relative terms. Other unfavorable characteristics of the Italian fuel market include the relative abundance of gas stations, low average supply per point of sale, the limited presence of self-service, and the limited presence of non-oil activities (Table 1).6 Recently, for environmental reasons, as well as to promote the spread of new fuel types, national and regional laws have forced entrant stations to supply LPG (propane). This measure has slightly reduced the proliferation of retail points, but has made it more difficult for small independent operators to enter the market. The impact on the market efficiency of this intervention is, therefore, ambiguous. Retail prices are a function of two components: the industrial component, and thefiscal component. The industrial component is represented by the costs of crude oil extraction or purchase, refinement, storage, transportation, and retail sale. Thefiscal component consists of an excise and a value-added tax applied to both the industrial component and the excise. In the last 15 years, Italian retail fuel prices have been in line with the price charged in the other European countries, although the weight of the two components has been quite different. In Italy, the industrial component is€0.722 for gasoline and€0.699 for diesel, and thefiscal component is€0.804 for gasoline and€0.613 for diesel (May 2011). Germany, France and the UK have higherfiscal components and significantly lower industrial ones, as shown by Table 2. The higher industrial component (especially for gasoline) is often interpreted as a lower efficiency of the Italian fuel market than in comparator European countries. It has also been argued that large industrial costs in Italy must be attributable to the morphology of the country, which requires a high number of gas stations to be adequately covered. This explanation is, however, not fully convincing. Because of its geography, Italy may need a larger number of points of sale to cover less accessible areas (i.e. the mountain areas). However, the observed spread of the stations over the territory does not seem to follow this logic. Indeed, the plains tend to have too dense coverage, while the mountain areas are poorly covered. Alternative explanations can have a different direction of the causal implication, i.e. because competition is notfierce there is room for a higher number of competitors. As afinal remark, it is worth noting that in Italy (as in most other EU Countries) the price of diesel is lower than that of gasoline.7 According to the Ministry of Economic Development, the lower cost of diesel has, therefore, induced drivers to reduce their gasoline demand from 16,070 tonnes in 2002 to 9982 tonnes in 2010 (about−38% in 8 years), whereas in the same period the demand for diesel increased from 21,511 tonnes to 25,272 (about +15% in the same time interval). Despite the higher prices at the pump for gasoline, the two fuels nevertheless show a very close time trend." </w:t>
      </w:r>
      <w:r w:rsidRPr="004E5926">
        <w:t>(Alderighi-Baudino 2015:35)</w:t>
      </w:r>
    </w:p>
    <w:p w14:paraId="649D0B92" w14:textId="77D1DCA4" w:rsidR="000E1B51" w:rsidRDefault="000E1B51">
      <w:pPr>
        <w:pStyle w:val="Textocomentario"/>
      </w:pPr>
    </w:p>
  </w:comment>
  <w:comment w:id="16" w:author="Diego Uriarte" w:date="2019-04-15T20:39:00Z" w:initials="DUC">
    <w:p w14:paraId="40693DBB" w14:textId="09F567ED" w:rsidR="000E1B51" w:rsidRDefault="000E1B51">
      <w:pPr>
        <w:pStyle w:val="Textocomentario"/>
      </w:pPr>
      <w:r>
        <w:rPr>
          <w:rStyle w:val="Refdecomentario"/>
        </w:rPr>
        <w:annotationRef/>
      </w:r>
      <w:r>
        <w:t>Pendiente algún grafico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C2DDA6" w15:done="0"/>
  <w15:commentEx w15:paraId="011A51CC" w15:done="0"/>
  <w15:commentEx w15:paraId="69C0C05F" w15:done="0"/>
  <w15:commentEx w15:paraId="49E8B1D4" w15:done="0"/>
  <w15:commentEx w15:paraId="61D66782" w15:done="0"/>
  <w15:commentEx w15:paraId="649D0B92" w15:done="0"/>
  <w15:commentEx w15:paraId="40693D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67111" w14:textId="77777777" w:rsidR="008910B9" w:rsidRDefault="008910B9" w:rsidP="00F57A1B">
      <w:r>
        <w:separator/>
      </w:r>
    </w:p>
  </w:endnote>
  <w:endnote w:type="continuationSeparator" w:id="0">
    <w:p w14:paraId="492F0AE2" w14:textId="77777777" w:rsidR="008910B9" w:rsidRDefault="008910B9"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66F93" w14:textId="77777777" w:rsidR="008910B9" w:rsidRDefault="008910B9" w:rsidP="00F57A1B">
      <w:r>
        <w:separator/>
      </w:r>
    </w:p>
  </w:footnote>
  <w:footnote w:type="continuationSeparator" w:id="0">
    <w:p w14:paraId="4DEAAA27" w14:textId="77777777" w:rsidR="008910B9" w:rsidRDefault="008910B9" w:rsidP="00F57A1B">
      <w:r>
        <w:continuationSeparator/>
      </w:r>
    </w:p>
  </w:footnote>
  <w:footnote w:id="1">
    <w:p w14:paraId="17E0C81E" w14:textId="2F2E665B" w:rsidR="000E1B51" w:rsidRDefault="000E1B51"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0E1B51" w:rsidRPr="00DB477C" w:rsidRDefault="000E1B51">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 w:id="3">
    <w:p w14:paraId="7BA666D7" w14:textId="7370AAB3" w:rsidR="000E1B51" w:rsidRDefault="000E1B51">
      <w:pPr>
        <w:pStyle w:val="Textonotapie"/>
      </w:pPr>
      <w:r>
        <w:rPr>
          <w:rStyle w:val="Refdenotaalpie"/>
        </w:rPr>
        <w:footnoteRef/>
      </w:r>
      <w:r>
        <w:t xml:space="preserve"> </w:t>
      </w:r>
      <w:r w:rsidRPr="005526A5">
        <w:rPr>
          <w:highlight w:val="yellow"/>
        </w:rPr>
        <w:t>Comentar sobre porcentajes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6D46BE73" w:rsidR="000E1B51" w:rsidRDefault="000E1B51">
        <w:pPr>
          <w:pStyle w:val="Encabezado"/>
          <w:jc w:val="right"/>
        </w:pPr>
        <w:r>
          <w:fldChar w:fldCharType="begin"/>
        </w:r>
        <w:r>
          <w:instrText>PAGE   \* MERGEFORMAT</w:instrText>
        </w:r>
        <w:r>
          <w:fldChar w:fldCharType="separate"/>
        </w:r>
        <w:r w:rsidR="00A314E8">
          <w:rPr>
            <w:noProof/>
          </w:rPr>
          <w:t>30</w:t>
        </w:r>
        <w:r>
          <w:fldChar w:fldCharType="end"/>
        </w:r>
      </w:p>
    </w:sdtContent>
  </w:sdt>
  <w:p w14:paraId="48712C0F" w14:textId="77777777" w:rsidR="000E1B51" w:rsidRDefault="000E1B51"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32777"/>
    <w:rsid w:val="0004424C"/>
    <w:rsid w:val="000534AB"/>
    <w:rsid w:val="0006185D"/>
    <w:rsid w:val="00067D45"/>
    <w:rsid w:val="0007726E"/>
    <w:rsid w:val="00091768"/>
    <w:rsid w:val="000B0CED"/>
    <w:rsid w:val="000B68B8"/>
    <w:rsid w:val="000D15A3"/>
    <w:rsid w:val="000E1B51"/>
    <w:rsid w:val="000E5223"/>
    <w:rsid w:val="000E65A3"/>
    <w:rsid w:val="000F00BA"/>
    <w:rsid w:val="00103A41"/>
    <w:rsid w:val="00105ABA"/>
    <w:rsid w:val="001162E9"/>
    <w:rsid w:val="00130F8F"/>
    <w:rsid w:val="00137AA9"/>
    <w:rsid w:val="00170A3D"/>
    <w:rsid w:val="00173517"/>
    <w:rsid w:val="00175C54"/>
    <w:rsid w:val="00180658"/>
    <w:rsid w:val="00197033"/>
    <w:rsid w:val="001B1B76"/>
    <w:rsid w:val="001B67D3"/>
    <w:rsid w:val="001C4B13"/>
    <w:rsid w:val="001D7AC0"/>
    <w:rsid w:val="001E55B1"/>
    <w:rsid w:val="00213DE0"/>
    <w:rsid w:val="00214C22"/>
    <w:rsid w:val="002215C9"/>
    <w:rsid w:val="002215E6"/>
    <w:rsid w:val="00221CA5"/>
    <w:rsid w:val="002423DB"/>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D327C"/>
    <w:rsid w:val="003D593A"/>
    <w:rsid w:val="003D7632"/>
    <w:rsid w:val="00423B86"/>
    <w:rsid w:val="00445710"/>
    <w:rsid w:val="00452AEC"/>
    <w:rsid w:val="004762C5"/>
    <w:rsid w:val="00484455"/>
    <w:rsid w:val="00497B45"/>
    <w:rsid w:val="004C4ACE"/>
    <w:rsid w:val="004C7F43"/>
    <w:rsid w:val="004E0A9A"/>
    <w:rsid w:val="004E229A"/>
    <w:rsid w:val="004E5926"/>
    <w:rsid w:val="004F75F4"/>
    <w:rsid w:val="005104A3"/>
    <w:rsid w:val="00513B65"/>
    <w:rsid w:val="00525E80"/>
    <w:rsid w:val="0054336F"/>
    <w:rsid w:val="005470C8"/>
    <w:rsid w:val="005526A5"/>
    <w:rsid w:val="005566A4"/>
    <w:rsid w:val="0059570C"/>
    <w:rsid w:val="00596E98"/>
    <w:rsid w:val="005A5199"/>
    <w:rsid w:val="005B6C2F"/>
    <w:rsid w:val="00616257"/>
    <w:rsid w:val="006227D3"/>
    <w:rsid w:val="006507EA"/>
    <w:rsid w:val="00660EDE"/>
    <w:rsid w:val="00662EB4"/>
    <w:rsid w:val="006707EB"/>
    <w:rsid w:val="006A4061"/>
    <w:rsid w:val="006A62C8"/>
    <w:rsid w:val="006C037F"/>
    <w:rsid w:val="006C1D5B"/>
    <w:rsid w:val="006C4AD8"/>
    <w:rsid w:val="006C6160"/>
    <w:rsid w:val="006D7A32"/>
    <w:rsid w:val="006F269F"/>
    <w:rsid w:val="00715046"/>
    <w:rsid w:val="007152F3"/>
    <w:rsid w:val="007231E6"/>
    <w:rsid w:val="0072529F"/>
    <w:rsid w:val="007677ED"/>
    <w:rsid w:val="00770490"/>
    <w:rsid w:val="0077094F"/>
    <w:rsid w:val="00772F99"/>
    <w:rsid w:val="00796456"/>
    <w:rsid w:val="007A3BA0"/>
    <w:rsid w:val="007B4F71"/>
    <w:rsid w:val="007C4FE0"/>
    <w:rsid w:val="007D3B9A"/>
    <w:rsid w:val="007E719A"/>
    <w:rsid w:val="00802E4C"/>
    <w:rsid w:val="0083448B"/>
    <w:rsid w:val="00835398"/>
    <w:rsid w:val="00846295"/>
    <w:rsid w:val="00867976"/>
    <w:rsid w:val="008910B9"/>
    <w:rsid w:val="008A5B92"/>
    <w:rsid w:val="008B699D"/>
    <w:rsid w:val="008C4504"/>
    <w:rsid w:val="008D2E84"/>
    <w:rsid w:val="008D617D"/>
    <w:rsid w:val="008D701F"/>
    <w:rsid w:val="008E2A06"/>
    <w:rsid w:val="00901A04"/>
    <w:rsid w:val="00924A41"/>
    <w:rsid w:val="00944BE0"/>
    <w:rsid w:val="009773EE"/>
    <w:rsid w:val="009A1D02"/>
    <w:rsid w:val="009A3452"/>
    <w:rsid w:val="009A43D8"/>
    <w:rsid w:val="009B5FE5"/>
    <w:rsid w:val="009C691F"/>
    <w:rsid w:val="009D4F3E"/>
    <w:rsid w:val="009E0813"/>
    <w:rsid w:val="00A04D30"/>
    <w:rsid w:val="00A314E8"/>
    <w:rsid w:val="00A55014"/>
    <w:rsid w:val="00A622D4"/>
    <w:rsid w:val="00A815AC"/>
    <w:rsid w:val="00A91D92"/>
    <w:rsid w:val="00A96CAF"/>
    <w:rsid w:val="00AA059B"/>
    <w:rsid w:val="00AA2505"/>
    <w:rsid w:val="00AA3912"/>
    <w:rsid w:val="00AC5CFF"/>
    <w:rsid w:val="00AD5B83"/>
    <w:rsid w:val="00AE36B3"/>
    <w:rsid w:val="00AE7D0B"/>
    <w:rsid w:val="00AF6545"/>
    <w:rsid w:val="00B17F3B"/>
    <w:rsid w:val="00B55601"/>
    <w:rsid w:val="00B714F9"/>
    <w:rsid w:val="00B74098"/>
    <w:rsid w:val="00B838A8"/>
    <w:rsid w:val="00BD2C42"/>
    <w:rsid w:val="00BE2AFD"/>
    <w:rsid w:val="00C0182C"/>
    <w:rsid w:val="00C0599C"/>
    <w:rsid w:val="00C14D1B"/>
    <w:rsid w:val="00C36A22"/>
    <w:rsid w:val="00C5153F"/>
    <w:rsid w:val="00C5594F"/>
    <w:rsid w:val="00C72315"/>
    <w:rsid w:val="00C8650E"/>
    <w:rsid w:val="00CA34B5"/>
    <w:rsid w:val="00CB4A95"/>
    <w:rsid w:val="00CB4D1B"/>
    <w:rsid w:val="00CC64D9"/>
    <w:rsid w:val="00CD5B0E"/>
    <w:rsid w:val="00CD64C6"/>
    <w:rsid w:val="00CF2550"/>
    <w:rsid w:val="00CF3910"/>
    <w:rsid w:val="00D26D6B"/>
    <w:rsid w:val="00D466ED"/>
    <w:rsid w:val="00D513A2"/>
    <w:rsid w:val="00D61883"/>
    <w:rsid w:val="00D86FD6"/>
    <w:rsid w:val="00D96538"/>
    <w:rsid w:val="00DA31E8"/>
    <w:rsid w:val="00DA5659"/>
    <w:rsid w:val="00DA58E5"/>
    <w:rsid w:val="00DB157A"/>
    <w:rsid w:val="00DB36E8"/>
    <w:rsid w:val="00DB477C"/>
    <w:rsid w:val="00DE27ED"/>
    <w:rsid w:val="00E107A6"/>
    <w:rsid w:val="00E11291"/>
    <w:rsid w:val="00E1384B"/>
    <w:rsid w:val="00E15DF9"/>
    <w:rsid w:val="00E50C32"/>
    <w:rsid w:val="00E53480"/>
    <w:rsid w:val="00E66211"/>
    <w:rsid w:val="00E85234"/>
    <w:rsid w:val="00E8719E"/>
    <w:rsid w:val="00EB4D69"/>
    <w:rsid w:val="00ED072A"/>
    <w:rsid w:val="00ED33D3"/>
    <w:rsid w:val="00EE471F"/>
    <w:rsid w:val="00F03D68"/>
    <w:rsid w:val="00F2093F"/>
    <w:rsid w:val="00F5278E"/>
    <w:rsid w:val="00F52BE8"/>
    <w:rsid w:val="00F55691"/>
    <w:rsid w:val="00F57A1B"/>
    <w:rsid w:val="00F7414C"/>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6A"/>
    <w:rsid w:val="0084757F"/>
    <w:rsid w:val="00C03309"/>
    <w:rsid w:val="00C1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75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8C074-DA23-4EE9-8440-B6CE802D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10656</TotalTime>
  <Pages>30</Pages>
  <Words>14408</Words>
  <Characters>82131</Characters>
  <Application>Microsoft Office Word</Application>
  <DocSecurity>0</DocSecurity>
  <Lines>684</Lines>
  <Paragraphs>192</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96347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75</cp:revision>
  <dcterms:created xsi:type="dcterms:W3CDTF">2019-03-30T14:01:00Z</dcterms:created>
  <dcterms:modified xsi:type="dcterms:W3CDTF">2019-04-17T03:58:00Z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id="KvX3GjkT"/&gt;&lt;style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