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88" w:lineRule="auto"/>
        <w:ind w:left="36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Guía de ejercicios Capítulo IV</w:t>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88" w:lineRule="auto"/>
        <w:ind w:left="360" w:right="0" w:firstLine="0"/>
        <w:jc w:val="center"/>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Reglas de Asociación</w:t>
      </w:r>
    </w:p>
    <w:p w:rsidR="00000000" w:rsidDel="00000000" w:rsidP="00000000" w:rsidRDefault="00000000" w:rsidRPr="00000000" w14:paraId="0000000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64"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Objetivos de la Unidad</w:t>
      </w:r>
    </w:p>
    <w:tbl>
      <w:tblPr>
        <w:tblStyle w:val="Table1"/>
        <w:tblW w:w="9850.0" w:type="dxa"/>
        <w:jc w:val="left"/>
        <w:tblInd w:w="0.0" w:type="dxa"/>
        <w:tblBorders>
          <w:top w:color="000000" w:space="0" w:sz="12" w:val="single"/>
          <w:left w:color="000000" w:space="0" w:sz="4" w:val="single"/>
          <w:bottom w:color="000000" w:space="0" w:sz="12" w:val="single"/>
          <w:right w:color="000000" w:space="0" w:sz="4" w:val="single"/>
          <w:insideH w:color="000000" w:space="0" w:sz="6" w:val="single"/>
          <w:insideV w:color="000000" w:space="0" w:sz="4" w:val="single"/>
        </w:tblBorders>
        <w:tblLayout w:type="fixed"/>
        <w:tblLook w:val="0400"/>
      </w:tblPr>
      <w:tblGrid>
        <w:gridCol w:w="534"/>
        <w:gridCol w:w="7926"/>
        <w:gridCol w:w="1390"/>
        <w:tblGridChange w:id="0">
          <w:tblGrid>
            <w:gridCol w:w="534"/>
            <w:gridCol w:w="7926"/>
            <w:gridCol w:w="1390"/>
          </w:tblGrid>
        </w:tblGridChange>
      </w:tblGrid>
      <w:tr>
        <w:trPr>
          <w:cantSplit w:val="0"/>
          <w:tblHeader w:val="0"/>
        </w:trPr>
        <w:tc>
          <w:tcPr>
            <w:shd w:fill="f2f2f2" w:val="clear"/>
            <w:vAlign w:val="center"/>
          </w:tcPr>
          <w:p w:rsidR="00000000" w:rsidDel="00000000" w:rsidP="00000000" w:rsidRDefault="00000000" w:rsidRPr="00000000" w14:paraId="00000004">
            <w:pPr>
              <w:jc w:val="center"/>
              <w:rPr>
                <w:b w:val="1"/>
                <w:sz w:val="22"/>
                <w:szCs w:val="22"/>
              </w:rPr>
            </w:pPr>
            <w:r w:rsidDel="00000000" w:rsidR="00000000" w:rsidRPr="00000000">
              <w:rPr>
                <w:b w:val="1"/>
                <w:sz w:val="22"/>
                <w:szCs w:val="22"/>
                <w:rtl w:val="0"/>
              </w:rPr>
              <w:t xml:space="preserve">#</w:t>
            </w:r>
          </w:p>
        </w:tc>
        <w:tc>
          <w:tcPr>
            <w:shd w:fill="f2f2f2" w:val="clear"/>
            <w:vAlign w:val="center"/>
          </w:tcPr>
          <w:p w:rsidR="00000000" w:rsidDel="00000000" w:rsidP="00000000" w:rsidRDefault="00000000" w:rsidRPr="00000000" w14:paraId="00000005">
            <w:pPr>
              <w:jc w:val="center"/>
              <w:rPr>
                <w:b w:val="1"/>
                <w:sz w:val="22"/>
                <w:szCs w:val="22"/>
              </w:rPr>
            </w:pPr>
            <w:r w:rsidDel="00000000" w:rsidR="00000000" w:rsidRPr="00000000">
              <w:rPr>
                <w:b w:val="1"/>
                <w:sz w:val="22"/>
                <w:szCs w:val="22"/>
                <w:rtl w:val="0"/>
              </w:rPr>
              <w:t xml:space="preserve">Descripción</w:t>
            </w:r>
          </w:p>
        </w:tc>
        <w:tc>
          <w:tcPr>
            <w:shd w:fill="f2f2f2" w:val="clear"/>
            <w:vAlign w:val="center"/>
          </w:tcPr>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Preguntas</w:t>
            </w:r>
          </w:p>
        </w:tc>
      </w:tr>
      <w:tr>
        <w:trPr>
          <w:cantSplit w:val="0"/>
          <w:tblHeader w:val="0"/>
        </w:trPr>
        <w:tc>
          <w:tcPr/>
          <w:p w:rsidR="00000000" w:rsidDel="00000000" w:rsidP="00000000" w:rsidRDefault="00000000" w:rsidRPr="00000000" w14:paraId="00000007">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08">
            <w:pPr>
              <w:rPr>
                <w:sz w:val="22"/>
                <w:szCs w:val="22"/>
              </w:rPr>
            </w:pPr>
            <w:r w:rsidDel="00000000" w:rsidR="00000000" w:rsidRPr="00000000">
              <w:rPr>
                <w:sz w:val="22"/>
                <w:szCs w:val="22"/>
                <w:rtl w:val="0"/>
              </w:rPr>
              <w:t xml:space="preserve">Comprender el entorno de problemas y la génesis de las reglas de asociación.</w:t>
            </w:r>
          </w:p>
        </w:tc>
        <w:tc>
          <w:tcPr/>
          <w:p w:rsidR="00000000" w:rsidDel="00000000" w:rsidP="00000000" w:rsidRDefault="00000000" w:rsidRPr="00000000" w14:paraId="00000009">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A">
            <w:pPr>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0B">
            <w:pPr>
              <w:rPr>
                <w:sz w:val="22"/>
                <w:szCs w:val="22"/>
              </w:rPr>
            </w:pPr>
            <w:r w:rsidDel="00000000" w:rsidR="00000000" w:rsidRPr="00000000">
              <w:rPr>
                <w:sz w:val="22"/>
                <w:szCs w:val="22"/>
                <w:rtl w:val="0"/>
              </w:rPr>
              <w:t xml:space="preserve">Conocer las definiciones formales de las reglas de asociación.</w:t>
            </w:r>
          </w:p>
        </w:tc>
        <w:tc>
          <w:tcPr/>
          <w:p w:rsidR="00000000" w:rsidDel="00000000" w:rsidP="00000000" w:rsidRDefault="00000000" w:rsidRPr="00000000" w14:paraId="0000000C">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0E">
            <w:pPr>
              <w:rPr>
                <w:sz w:val="22"/>
                <w:szCs w:val="22"/>
              </w:rPr>
            </w:pPr>
            <w:r w:rsidDel="00000000" w:rsidR="00000000" w:rsidRPr="00000000">
              <w:rPr>
                <w:sz w:val="22"/>
                <w:szCs w:val="22"/>
                <w:rtl w:val="0"/>
              </w:rPr>
              <w:t xml:space="preserve">Comprender y manipular los parámetros necesarios para evaluar en forma cualitativa una regla.</w:t>
            </w:r>
          </w:p>
        </w:tc>
        <w:tc>
          <w:tcPr/>
          <w:p w:rsidR="00000000" w:rsidDel="00000000" w:rsidP="00000000" w:rsidRDefault="00000000" w:rsidRPr="00000000" w14:paraId="0000000F">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0">
            <w:pPr>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11">
            <w:pPr>
              <w:rPr>
                <w:sz w:val="22"/>
                <w:szCs w:val="22"/>
              </w:rPr>
            </w:pPr>
            <w:r w:rsidDel="00000000" w:rsidR="00000000" w:rsidRPr="00000000">
              <w:rPr>
                <w:sz w:val="22"/>
                <w:szCs w:val="22"/>
                <w:rtl w:val="0"/>
              </w:rPr>
              <w:t xml:space="preserve">Comprender los problemas combinatorios subyacentes a la búsqueda de relaciones frecuentes.</w:t>
            </w:r>
          </w:p>
        </w:tc>
        <w:tc>
          <w:tcPr/>
          <w:p w:rsidR="00000000" w:rsidDel="00000000" w:rsidP="00000000" w:rsidRDefault="00000000" w:rsidRPr="00000000" w14:paraId="00000012">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3">
            <w:pPr>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14">
            <w:pPr>
              <w:rPr>
                <w:sz w:val="22"/>
                <w:szCs w:val="22"/>
              </w:rPr>
            </w:pPr>
            <w:r w:rsidDel="00000000" w:rsidR="00000000" w:rsidRPr="00000000">
              <w:rPr>
                <w:sz w:val="22"/>
                <w:szCs w:val="22"/>
                <w:rtl w:val="0"/>
              </w:rPr>
              <w:t xml:space="preserve">Evaluar las diferentes medidas de calidad de una regla de asociación.</w:t>
            </w:r>
          </w:p>
        </w:tc>
        <w:tc>
          <w:tcPr/>
          <w:p w:rsidR="00000000" w:rsidDel="00000000" w:rsidP="00000000" w:rsidRDefault="00000000" w:rsidRPr="00000000" w14:paraId="00000015">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6">
            <w:pPr>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17">
            <w:pPr>
              <w:rPr>
                <w:sz w:val="22"/>
                <w:szCs w:val="22"/>
              </w:rPr>
            </w:pPr>
            <w:r w:rsidDel="00000000" w:rsidR="00000000" w:rsidRPr="00000000">
              <w:rPr>
                <w:sz w:val="22"/>
                <w:szCs w:val="22"/>
                <w:rtl w:val="0"/>
              </w:rPr>
              <w:t xml:space="preserve">Dominar los algoritmos para la búsqueda de reglas frecuentes.</w:t>
            </w:r>
          </w:p>
        </w:tc>
        <w:tc>
          <w:tcPr/>
          <w:p w:rsidR="00000000" w:rsidDel="00000000" w:rsidP="00000000" w:rsidRDefault="00000000" w:rsidRPr="00000000" w14:paraId="00000018">
            <w:pPr>
              <w:jc w:val="center"/>
              <w:rPr>
                <w:sz w:val="22"/>
                <w:szCs w:val="22"/>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64"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Preguntas</w:t>
      </w:r>
    </w:p>
    <w:p w:rsidR="00000000" w:rsidDel="00000000" w:rsidP="00000000" w:rsidRDefault="00000000" w:rsidRPr="00000000" w14:paraId="0000001C">
      <w:pPr>
        <w:pStyle w:val="Subtitle"/>
        <w:rPr/>
      </w:pPr>
      <w:r w:rsidDel="00000000" w:rsidR="00000000" w:rsidRPr="00000000">
        <w:rPr>
          <w:rtl w:val="0"/>
        </w:rPr>
        <w:t xml:space="preserve">P1. </w:t>
      </w:r>
    </w:p>
    <w:p w:rsidR="00000000" w:rsidDel="00000000" w:rsidP="00000000" w:rsidRDefault="00000000" w:rsidRPr="00000000" w14:paraId="0000001D">
      <w:pPr>
        <w:rPr/>
      </w:pPr>
      <w:r w:rsidDel="00000000" w:rsidR="00000000" w:rsidRPr="00000000">
        <w:rPr>
          <w:rtl w:val="0"/>
        </w:rPr>
        <w:t xml:space="preserve">Exprese la siguiente medida de calidad en la forma probabilística más simple e interpretarla ¿a qué medida conocida se parece?</w:t>
      </w:r>
    </w:p>
    <w:p w:rsidR="00000000" w:rsidDel="00000000" w:rsidP="00000000" w:rsidRDefault="00000000" w:rsidRPr="00000000" w14:paraId="0000001E">
      <w:pPr>
        <w:jc w:val="center"/>
        <w:rPr>
          <w:rFonts w:ascii="Cambria Math" w:cs="Cambria Math" w:eastAsia="Cambria Math" w:hAnsi="Cambria Math"/>
        </w:rPr>
      </w:pPr>
      <m:oMath>
        <m:r>
          <w:rPr>
            <w:rFonts w:ascii="Cambria Math" w:cs="Cambria Math" w:eastAsia="Cambria Math" w:hAnsi="Cambria Math"/>
            <w:sz w:val="28"/>
            <w:szCs w:val="28"/>
          </w:rPr>
          <m:t xml:space="preserve">X=n</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conf(A=&gt;B)</m:t>
            </m:r>
          </m:num>
          <m:den>
            <m:r>
              <w:rPr>
                <w:rFonts w:ascii="Cambria Math" w:cs="Cambria Math" w:eastAsia="Cambria Math" w:hAnsi="Cambria Math"/>
                <w:sz w:val="28"/>
                <w:szCs w:val="28"/>
              </w:rPr>
              <m:t xml:space="preserve">sop(A=&gt;B)</m:t>
            </m:r>
          </m:den>
        </m:f>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sop</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A=&gt;B</m:t>
                    </m:r>
                  </m:e>
                </m:d>
                <m:r>
                  <w:rPr>
                    <w:rFonts w:ascii="Cambria Math" w:cs="Cambria Math" w:eastAsia="Cambria Math" w:hAnsi="Cambria Math"/>
                    <w:sz w:val="28"/>
                    <w:szCs w:val="28"/>
                  </w:rPr>
                  <m:t xml:space="preserve">conf(A=&gt;B)</m:t>
                </m:r>
              </m:num>
              <m:den>
                <m:r>
                  <w:rPr>
                    <w:rFonts w:ascii="Cambria Math" w:cs="Cambria Math" w:eastAsia="Cambria Math" w:hAnsi="Cambria Math"/>
                    <w:sz w:val="28"/>
                    <w:szCs w:val="28"/>
                  </w:rPr>
                  <m:t xml:space="preserve">sop(A=&gt;B)</m:t>
                </m:r>
              </m:den>
            </m:f>
          </m:e>
        </m:d>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1F">
      <w:pPr>
        <w:pStyle w:val="Subtitle"/>
        <w:rPr/>
      </w:pPr>
      <w:r w:rsidDel="00000000" w:rsidR="00000000" w:rsidRPr="00000000">
        <w:rPr>
          <w:rtl w:val="0"/>
        </w:rPr>
      </w:r>
    </w:p>
    <w:p w:rsidR="00000000" w:rsidDel="00000000" w:rsidP="00000000" w:rsidRDefault="00000000" w:rsidRPr="00000000" w14:paraId="00000020">
      <w:pPr>
        <w:pStyle w:val="Subtitle"/>
        <w:rPr/>
      </w:pPr>
      <w:r w:rsidDel="00000000" w:rsidR="00000000" w:rsidRPr="00000000">
        <w:rPr>
          <w:rtl w:val="0"/>
        </w:rPr>
        <w:t xml:space="preserve">P2. </w:t>
      </w:r>
    </w:p>
    <w:p w:rsidR="00000000" w:rsidDel="00000000" w:rsidP="00000000" w:rsidRDefault="00000000" w:rsidRPr="00000000" w14:paraId="00000021">
      <w:pPr>
        <w:spacing w:after="0" w:line="240" w:lineRule="auto"/>
        <w:rPr/>
      </w:pPr>
      <w:r w:rsidDel="00000000" w:rsidR="00000000" w:rsidRPr="00000000">
        <w:rPr>
          <w:rtl w:val="0"/>
        </w:rPr>
        <w:t xml:space="preserve">Una parte de la medida Gini para evaluar reglas de asociación está definida como:</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jc w:val="center"/>
        <w:rPr>
          <w:rFonts w:ascii="Cambria Math" w:cs="Cambria Math" w:eastAsia="Cambria Math" w:hAnsi="Cambria Math"/>
        </w:rPr>
      </w:pPr>
      <m:oMath>
        <m:r>
          <w:rPr>
            <w:rFonts w:ascii="Cambria Math" w:cs="Cambria Math" w:eastAsia="Cambria Math" w:hAnsi="Cambria Math"/>
          </w:rPr>
          <m:t xml:space="preserve">gini</m:t>
        </m:r>
        <m:d>
          <m:dPr>
            <m:begChr m:val="("/>
            <m:endChr m:val=")"/>
            <m:ctrlPr>
              <w:rPr>
                <w:rFonts w:ascii="Cambria Math" w:cs="Cambria Math" w:eastAsia="Cambria Math" w:hAnsi="Cambria Math"/>
              </w:rPr>
            </m:ctrlPr>
          </m:dPr>
          <m:e>
            <m:r>
              <w:rPr>
                <w:rFonts w:ascii="Cambria Math" w:cs="Cambria Math" w:eastAsia="Cambria Math" w:hAnsi="Cambria Math"/>
              </w:rPr>
              <m:t xml:space="preserve"> a</m:t>
            </m:r>
            <m:r>
              <w:rPr>
                <w:rFonts w:ascii="Cambria Math" w:cs="Cambria Math" w:eastAsia="Cambria Math" w:hAnsi="Cambria Math"/>
              </w:rPr>
              <m:t>→</m:t>
            </m:r>
            <m:r>
              <w:rPr>
                <w:rFonts w:ascii="Cambria Math" w:cs="Cambria Math" w:eastAsia="Cambria Math" w:hAnsi="Cambria Math"/>
              </w:rPr>
              <m:t xml:space="preserve">b</m:t>
            </m:r>
          </m:e>
        </m:d>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a</m:t>
            </m:r>
          </m:e>
        </m:d>
        <m:sSup>
          <m:sSupPr>
            <m:ctrlPr>
              <w:rPr>
                <w:rFonts w:ascii="Cambria Math" w:cs="Cambria Math" w:eastAsia="Cambria Math" w:hAnsi="Cambria Math"/>
              </w:rPr>
            </m:ctrlPr>
          </m:sSupPr>
          <m:e>
            <m:r>
              <w:rPr>
                <w:rFonts w:ascii="Cambria Math" w:cs="Cambria Math" w:eastAsia="Cambria Math" w:hAnsi="Cambria Math"/>
              </w:rPr>
              <m:t xml:space="preserve">[1-(p(b/a)]</m:t>
            </m:r>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[1-(p(b/a)]</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Determine su monotonicidad (monótona o anti-monótona) para el caso del soporte (con confianza constante) y para el caso de confianza (con soporte constante).</w:t>
      </w:r>
    </w:p>
    <w:p w:rsidR="00000000" w:rsidDel="00000000" w:rsidP="00000000" w:rsidRDefault="00000000" w:rsidRPr="00000000" w14:paraId="00000025">
      <w:pPr>
        <w:jc w:val="cente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6">
      <w:pPr>
        <w:pStyle w:val="Subtitle"/>
        <w:rPr/>
      </w:pPr>
      <w:r w:rsidDel="00000000" w:rsidR="00000000" w:rsidRPr="00000000">
        <w:rPr>
          <w:rtl w:val="0"/>
        </w:rPr>
        <w:t xml:space="preserve">P3. </w:t>
      </w:r>
    </w:p>
    <w:p w:rsidR="00000000" w:rsidDel="00000000" w:rsidP="00000000" w:rsidRDefault="00000000" w:rsidRPr="00000000" w14:paraId="00000027">
      <w:pPr>
        <w:rPr/>
      </w:pPr>
      <w:r w:rsidDel="00000000" w:rsidR="00000000" w:rsidRPr="00000000">
        <w:rPr>
          <w:rtl w:val="0"/>
        </w:rPr>
        <w:t xml:space="preserve">Un médico especialista en enfermedades broncopulmonares infantiles tiene la convicción de que la estacionalidad del clima en Santiago influye fuertemente en el agravamiento de los infantes alérgicos. Para evaluar su hipótesis ha recolectado datos de los infantes con síntomas alérgicos e infantes normales y ha constatado sus ingresos a salas IRA (infección respiratoria aguda) de la ciudad de Santiago. Muestre una base de datos codificada para la aplicación del método de reglas de asociación, que tenga la particularidad de que cuando se agrega la variable estacionalidad (importa la instancia invierno) la confianza aumenta.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pPr>
      <w:r w:rsidDel="00000000" w:rsidR="00000000" w:rsidRPr="00000000">
        <w:rPr>
          <w:rtl w:val="0"/>
        </w:rPr>
        <w:t xml:space="preserve">P4. </w:t>
      </w:r>
    </w:p>
    <w:p w:rsidR="00000000" w:rsidDel="00000000" w:rsidP="00000000" w:rsidRDefault="00000000" w:rsidRPr="00000000" w14:paraId="0000002A">
      <w:pPr>
        <w:rPr/>
      </w:pPr>
      <w:r w:rsidDel="00000000" w:rsidR="00000000" w:rsidRPr="00000000">
        <w:rPr>
          <w:rtl w:val="0"/>
        </w:rPr>
        <w:t xml:space="preserve">Un analista de marketing tiene la hipótesis que existe una fuerte relación (más del 50%) entre personas que están suscritas al diario </w:t>
      </w:r>
      <w:r w:rsidDel="00000000" w:rsidR="00000000" w:rsidRPr="00000000">
        <w:rPr>
          <w:i w:val="1"/>
          <w:rtl w:val="0"/>
        </w:rPr>
        <w:t xml:space="preserve">El Mercurio</w:t>
      </w:r>
      <w:r w:rsidDel="00000000" w:rsidR="00000000" w:rsidRPr="00000000">
        <w:rPr>
          <w:rtl w:val="0"/>
        </w:rPr>
        <w:t xml:space="preserve"> y </w:t>
      </w:r>
      <w:r w:rsidDel="00000000" w:rsidR="00000000" w:rsidRPr="00000000">
        <w:rPr>
          <w:i w:val="1"/>
          <w:rtl w:val="0"/>
        </w:rPr>
        <w:t xml:space="preserve">Estrategia</w:t>
      </w:r>
      <w:r w:rsidDel="00000000" w:rsidR="00000000" w:rsidRPr="00000000">
        <w:rPr>
          <w:rtl w:val="0"/>
        </w:rPr>
        <w:t xml:space="preserve">, con las personas que toman sus vacaciones en el extranjero y en el sur del país. Para comprobar esta hipótesis posee las bases de datos de las suscripciones a los periódicos y de la empresa </w:t>
      </w:r>
      <w:r w:rsidDel="00000000" w:rsidR="00000000" w:rsidRPr="00000000">
        <w:rPr>
          <w:i w:val="1"/>
          <w:rtl w:val="0"/>
        </w:rPr>
        <w:t xml:space="preserve">Latam</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Construya una base de datos de no más de 10 ejemplos que compruebe la hipótesis. Considerando un soporte de más del 10%, cuando el universo está constituido por las personas comunes a las tres bases de datos.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4d535b"/>
          <w:sz w:val="28"/>
          <w:szCs w:val="28"/>
        </w:rPr>
      </w:pPr>
      <w:r w:rsidDel="00000000" w:rsidR="00000000" w:rsidRPr="00000000">
        <w:rPr>
          <w:rtl w:val="0"/>
        </w:rPr>
      </w:r>
    </w:p>
    <w:p w:rsidR="00000000" w:rsidDel="00000000" w:rsidP="00000000" w:rsidRDefault="00000000" w:rsidRPr="00000000" w14:paraId="0000002F">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64"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Respuestas</w:t>
      </w:r>
    </w:p>
    <w:p w:rsidR="00000000" w:rsidDel="00000000" w:rsidP="00000000" w:rsidRDefault="00000000" w:rsidRPr="00000000" w14:paraId="00000031">
      <w:pPr>
        <w:pStyle w:val="Subtitle"/>
        <w:rPr/>
      </w:pPr>
      <w:bookmarkStart w:colFirst="0" w:colLast="0" w:name="_heading=h.gqr0pc23yeli" w:id="0"/>
      <w:bookmarkEnd w:id="0"/>
      <w:r w:rsidDel="00000000" w:rsidR="00000000" w:rsidRPr="00000000">
        <w:rPr>
          <w:rtl w:val="0"/>
        </w:rPr>
        <w:t xml:space="preserve">P2.</w:t>
      </w:r>
    </w:p>
    <w:p w:rsidR="00000000" w:rsidDel="00000000" w:rsidP="00000000" w:rsidRDefault="00000000" w:rsidRPr="00000000" w14:paraId="00000032">
      <w:pPr>
        <w:rPr>
          <w:rFonts w:ascii="Cambria Math" w:cs="Cambria Math" w:eastAsia="Cambria Math" w:hAnsi="Cambria Math"/>
        </w:rPr>
      </w:pPr>
      <w:r w:rsidDel="00000000" w:rsidR="00000000" w:rsidRPr="00000000">
        <w:rPr>
          <w:rtl w:val="0"/>
        </w:rPr>
        <w:t xml:space="preserve">R =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a</m:t>
            </m:r>
          </m:e>
        </m:d>
        <m:sSup>
          <m:sSupPr>
            <m:ctrlPr>
              <w:rPr>
                <w:rFonts w:ascii="Cambria Math" w:cs="Cambria Math" w:eastAsia="Cambria Math" w:hAnsi="Cambria Math"/>
              </w:rPr>
            </m:ctrlPr>
          </m:sSupPr>
          <m:e>
            <m:r>
              <w:rPr>
                <w:rFonts w:ascii="Cambria Math" w:cs="Cambria Math" w:eastAsia="Cambria Math" w:hAnsi="Cambria Math"/>
              </w:rPr>
              <m:t xml:space="preserve">[1-(p(b/a)]</m:t>
            </m:r>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[1-(p(b/a)]</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33">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sopn(a)</m:t>
        </m:r>
        <m:sSup>
          <m:sSupPr>
            <m:ctrlPr>
              <w:rPr>
                <w:rFonts w:ascii="Cambria Math" w:cs="Cambria Math" w:eastAsia="Cambria Math" w:hAnsi="Cambria Math"/>
              </w:rPr>
            </m:ctrlPr>
          </m:sSupPr>
          <m:e>
            <m:r>
              <w:rPr>
                <w:rFonts w:ascii="Cambria Math" w:cs="Cambria Math" w:eastAsia="Cambria Math" w:hAnsi="Cambria Math"/>
              </w:rPr>
              <m:t xml:space="preserve">[1-(sop(a=&gt;b)/sop(a))]</m:t>
            </m:r>
          </m:e>
          <m:sup>
            <m:r>
              <w:rPr>
                <w:rFonts w:ascii="Cambria Math" w:cs="Cambria Math" w:eastAsia="Cambria Math" w:hAnsi="Cambria Math"/>
              </w:rPr>
              <m:t xml:space="preserve">2</m:t>
            </m:r>
          </m:sup>
        </m:sSup>
        <m:r>
          <w:rPr>
            <w:rFonts w:ascii="Cambria Math" w:cs="Cambria Math" w:eastAsia="Cambria Math" w:hAnsi="Cambria Math"/>
          </w:rPr>
          <m:t xml:space="preserve">/ n+</m:t>
        </m:r>
        <m:sSup>
          <m:sSupPr>
            <m:ctrlPr>
              <w:rPr>
                <w:rFonts w:ascii="Cambria Math" w:cs="Cambria Math" w:eastAsia="Cambria Math" w:hAnsi="Cambria Math"/>
              </w:rPr>
            </m:ctrlPr>
          </m:sSupPr>
          <m:e>
            <m:r>
              <w:rPr>
                <w:rFonts w:ascii="Cambria Math" w:cs="Cambria Math" w:eastAsia="Cambria Math" w:hAnsi="Cambria Math"/>
              </w:rPr>
              <m:t xml:space="preserve">[1-(sop(a=&gt;b)/sop(a))]</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34">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(sopn(a)+1)</m:t>
        </m:r>
        <m:sSup>
          <m:sSupPr>
            <m:ctrlPr>
              <w:rPr>
                <w:rFonts w:ascii="Cambria Math" w:cs="Cambria Math" w:eastAsia="Cambria Math" w:hAnsi="Cambria Math"/>
              </w:rPr>
            </m:ctrlPr>
          </m:sSupPr>
          <m:e>
            <m:r>
              <w:rPr>
                <w:rFonts w:ascii="Cambria Math" w:cs="Cambria Math" w:eastAsia="Cambria Math" w:hAnsi="Cambria Math"/>
              </w:rPr>
              <m:t xml:space="preserve">[1-</m:t>
            </m:r>
            <m:f>
              <m:fPr>
                <m:ctrlPr>
                  <w:rPr>
                    <w:rFonts w:ascii="Cambria Math" w:cs="Cambria Math" w:eastAsia="Cambria Math" w:hAnsi="Cambria Math"/>
                  </w:rPr>
                </m:ctrlPr>
              </m:fPr>
              <m:num>
                <m:r>
                  <w:rPr>
                    <w:rFonts w:ascii="Cambria Math" w:cs="Cambria Math" w:eastAsia="Cambria Math" w:hAnsi="Cambria Math"/>
                  </w:rPr>
                  <m:t xml:space="preserve">sopn(a=&gt;b)</m:t>
                </m:r>
              </m:num>
              <m:den>
                <m:r>
                  <w:rPr>
                    <w:rFonts w:ascii="Cambria Math" w:cs="Cambria Math" w:eastAsia="Cambria Math" w:hAnsi="Cambria Math"/>
                  </w:rPr>
                  <m:t xml:space="preserve">sopn(a)</m:t>
                </m:r>
              </m:den>
            </m:f>
            <m:r>
              <w:rPr>
                <w:rFonts w:ascii="Cambria Math" w:cs="Cambria Math" w:eastAsia="Cambria Math" w:hAnsi="Cambria Math"/>
              </w:rPr>
              <m:t xml:space="preserve">]</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35">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(sopn(a)+1)</m:t>
        </m:r>
        <m:sSup>
          <m:sSupPr>
            <m:ctrlPr>
              <w:rPr>
                <w:rFonts w:ascii="Cambria Math" w:cs="Cambria Math" w:eastAsia="Cambria Math" w:hAnsi="Cambria Math"/>
              </w:rPr>
            </m:ctrlPr>
          </m:sSupPr>
          <m:e>
            <m:r>
              <w:rPr>
                <w:rFonts w:ascii="Cambria Math" w:cs="Cambria Math" w:eastAsia="Cambria Math" w:hAnsi="Cambria Math"/>
              </w:rPr>
              <m:t xml:space="preserve">[1- confn(a=&gt;b)]</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36">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Confianza constante: Considerando una confianza constante, el lado derecho de la ecuación siempre será positivo constante, mientras que el izquierdo, al tener el soporte de a, sería anti-monótona.</w:t>
      </w:r>
    </w:p>
    <w:p w:rsidR="00000000" w:rsidDel="00000000" w:rsidP="00000000" w:rsidRDefault="00000000" w:rsidRPr="00000000" w14:paraId="00000037">
      <w:pPr>
        <w:rPr>
          <w:rFonts w:ascii="Cambria Math" w:cs="Cambria Math" w:eastAsia="Cambria Math" w:hAnsi="Cambria Math"/>
        </w:rPr>
      </w:pPr>
      <m:oMath>
        <m:r>
          <w:rPr>
            <w:rFonts w:ascii="Cambria Math" w:cs="Cambria Math" w:eastAsia="Cambria Math" w:hAnsi="Cambria Math"/>
          </w:rPr>
          <m:t xml:space="preserve">confn(a=&gt;b) = 0,5</m:t>
        </m:r>
      </m:oMath>
      <w:r w:rsidDel="00000000" w:rsidR="00000000" w:rsidRPr="00000000">
        <w:rPr>
          <w:rFonts w:ascii="Cambria Math" w:cs="Cambria Math" w:eastAsia="Cambria Math" w:hAnsi="Cambria Math"/>
          <w:rtl w:val="0"/>
        </w:rPr>
        <w:t xml:space="preserve">    ||   </w:t>
      </w:r>
      <m:oMath>
        <m:r>
          <w:rPr>
            <w:rFonts w:ascii="Cambria Math" w:cs="Cambria Math" w:eastAsia="Cambria Math" w:hAnsi="Cambria Math"/>
          </w:rPr>
          <m:t xml:space="preserve">sopn(a) =0,2</m:t>
        </m:r>
      </m:oMath>
      <w:r w:rsidDel="00000000" w:rsidR="00000000" w:rsidRPr="00000000">
        <w:rPr>
          <w:rtl w:val="0"/>
        </w:rPr>
      </w:r>
    </w:p>
    <w:p w:rsidR="00000000" w:rsidDel="00000000" w:rsidP="00000000" w:rsidRDefault="00000000" w:rsidRPr="00000000" w14:paraId="00000038">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 (0,2 + 1) [1 - 0,5]^2 =0,3 </m:t>
        </m:r>
      </m:oMath>
      <w:r w:rsidDel="00000000" w:rsidR="00000000" w:rsidRPr="00000000">
        <w:rPr>
          <w:rtl w:val="0"/>
        </w:rPr>
      </w:r>
    </w:p>
    <w:p w:rsidR="00000000" w:rsidDel="00000000" w:rsidP="00000000" w:rsidRDefault="00000000" w:rsidRPr="00000000" w14:paraId="00000039">
      <w:pPr>
        <w:rPr>
          <w:rFonts w:ascii="Cambria Math" w:cs="Cambria Math" w:eastAsia="Cambria Math" w:hAnsi="Cambria Math"/>
        </w:rPr>
      </w:pPr>
      <m:oMath>
        <m:r>
          <w:rPr>
            <w:rFonts w:ascii="Cambria Math" w:cs="Cambria Math" w:eastAsia="Cambria Math" w:hAnsi="Cambria Math"/>
          </w:rPr>
          <m:t xml:space="preserve">confn(a=&gt;b) = 0,5</m:t>
        </m:r>
      </m:oMath>
      <w:r w:rsidDel="00000000" w:rsidR="00000000" w:rsidRPr="00000000">
        <w:rPr>
          <w:rFonts w:ascii="Cambria Math" w:cs="Cambria Math" w:eastAsia="Cambria Math" w:hAnsi="Cambria Math"/>
          <w:rtl w:val="0"/>
        </w:rPr>
        <w:t xml:space="preserve">    ||   </w:t>
      </w:r>
      <m:oMath>
        <m:r>
          <w:rPr>
            <w:rFonts w:ascii="Cambria Math" w:cs="Cambria Math" w:eastAsia="Cambria Math" w:hAnsi="Cambria Math"/>
          </w:rPr>
          <m:t xml:space="preserve">sopn(a) =0,1</m:t>
        </m:r>
      </m:oMath>
      <w:r w:rsidDel="00000000" w:rsidR="00000000" w:rsidRPr="00000000">
        <w:rPr>
          <w:rtl w:val="0"/>
        </w:rPr>
      </w:r>
    </w:p>
    <w:p w:rsidR="00000000" w:rsidDel="00000000" w:rsidP="00000000" w:rsidRDefault="00000000" w:rsidRPr="00000000" w14:paraId="0000003A">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 (0,1 + 1) [1 - 0,5]^2 =0,275 </m:t>
        </m:r>
      </m:oMath>
      <w:r w:rsidDel="00000000" w:rsidR="00000000" w:rsidRPr="00000000">
        <w:rPr>
          <w:rtl w:val="0"/>
        </w:rPr>
      </w:r>
    </w:p>
    <w:p w:rsidR="00000000" w:rsidDel="00000000" w:rsidP="00000000" w:rsidRDefault="00000000" w:rsidRPr="00000000" w14:paraId="0000003B">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Soporte constante: Considerando un soporte constante, dado que cuando la confianza tome valores entre 0 y 1, se perdería la monoticidad (cuando la conf es 1, el lado derecho vale 0, cuando la conf es 0, el lado derecho es 1, cuando la confianza es 0.5, el lado derecho en 0.25)</w:t>
      </w:r>
    </w:p>
    <w:p w:rsidR="00000000" w:rsidDel="00000000" w:rsidP="00000000" w:rsidRDefault="00000000" w:rsidRPr="00000000" w14:paraId="0000003C">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confn(a=&gt;b) = 0,5</m:t>
        </m:r>
      </m:oMath>
      <w:r w:rsidDel="00000000" w:rsidR="00000000" w:rsidRPr="00000000">
        <w:rPr>
          <w:rFonts w:ascii="Cambria Math" w:cs="Cambria Math" w:eastAsia="Cambria Math" w:hAnsi="Cambria Math"/>
          <w:rtl w:val="0"/>
        </w:rPr>
        <w:t xml:space="preserve">    ||   </w:t>
      </w:r>
      <m:oMath>
        <m:r>
          <w:rPr>
            <w:rFonts w:ascii="Cambria Math" w:cs="Cambria Math" w:eastAsia="Cambria Math" w:hAnsi="Cambria Math"/>
          </w:rPr>
          <m:t xml:space="preserve">sopn(a) =0,2</m:t>
        </m:r>
      </m:oMath>
      <w:r w:rsidDel="00000000" w:rsidR="00000000" w:rsidRPr="00000000">
        <w:rPr>
          <w:rtl w:val="0"/>
        </w:rPr>
      </w:r>
    </w:p>
    <w:p w:rsidR="00000000" w:rsidDel="00000000" w:rsidP="00000000" w:rsidRDefault="00000000" w:rsidRPr="00000000" w14:paraId="0000003D">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 (0,2 + 1) [1 - 0,5]^2 =0,3 </m:t>
        </m:r>
      </m:oMath>
      <w:r w:rsidDel="00000000" w:rsidR="00000000" w:rsidRPr="00000000">
        <w:rPr>
          <w:rtl w:val="0"/>
        </w:rPr>
      </w:r>
    </w:p>
    <w:p w:rsidR="00000000" w:rsidDel="00000000" w:rsidP="00000000" w:rsidRDefault="00000000" w:rsidRPr="00000000" w14:paraId="0000003E">
      <w:pPr>
        <w:rPr>
          <w:rFonts w:ascii="Cambria Math" w:cs="Cambria Math" w:eastAsia="Cambria Math" w:hAnsi="Cambria Math"/>
        </w:rPr>
      </w:pPr>
      <m:oMath>
        <m:r>
          <w:rPr>
            <w:rFonts w:ascii="Cambria Math" w:cs="Cambria Math" w:eastAsia="Cambria Math" w:hAnsi="Cambria Math"/>
          </w:rPr>
          <m:t xml:space="preserve">confn(a=&gt;b) = 0,4</m:t>
        </m:r>
      </m:oMath>
      <w:r w:rsidDel="00000000" w:rsidR="00000000" w:rsidRPr="00000000">
        <w:rPr>
          <w:rFonts w:ascii="Cambria Math" w:cs="Cambria Math" w:eastAsia="Cambria Math" w:hAnsi="Cambria Math"/>
          <w:rtl w:val="0"/>
        </w:rPr>
        <w:t xml:space="preserve">    ||   </w:t>
      </w:r>
      <m:oMath>
        <m:r>
          <w:rPr>
            <w:rFonts w:ascii="Cambria Math" w:cs="Cambria Math" w:eastAsia="Cambria Math" w:hAnsi="Cambria Math"/>
          </w:rPr>
          <m:t xml:space="preserve">sopn(a) =0,2</m:t>
        </m:r>
      </m:oMath>
      <w:r w:rsidDel="00000000" w:rsidR="00000000" w:rsidRPr="00000000">
        <w:rPr>
          <w:rtl w:val="0"/>
        </w:rPr>
      </w:r>
    </w:p>
    <w:p w:rsidR="00000000" w:rsidDel="00000000" w:rsidP="00000000" w:rsidRDefault="00000000" w:rsidRPr="00000000" w14:paraId="0000003F">
      <w:pPr>
        <w:tabs>
          <w:tab w:val="left" w:pos="1191"/>
        </w:tabs>
        <w:rPr>
          <w:rFonts w:ascii="Cambria Math" w:cs="Cambria Math" w:eastAsia="Cambria Math" w:hAnsi="Cambria Math"/>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 (0,2 + 1) [1 - 0,4]^2 =</m:t>
        </m:r>
        <m:r>
          <w:rPr>
            <w:color w:val="e8eaed"/>
            <w:sz w:val="45"/>
            <w:szCs w:val="45"/>
            <w:shd w:fill="303134" w:val="clear"/>
          </w:rPr>
          <m:t xml:space="preserve">0.432</m:t>
        </m:r>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40">
      <w:pPr>
        <w:rPr>
          <w:rFonts w:ascii="Cambria Math" w:cs="Cambria Math" w:eastAsia="Cambria Math" w:hAnsi="Cambria Math"/>
        </w:rPr>
      </w:pPr>
      <m:oMath>
        <m:r>
          <w:rPr>
            <w:rFonts w:ascii="Cambria Math" w:cs="Cambria Math" w:eastAsia="Cambria Math" w:hAnsi="Cambria Math"/>
          </w:rPr>
          <m:t xml:space="preserve">confn(a=&gt;b) = 0,3</m:t>
        </m:r>
      </m:oMath>
      <w:r w:rsidDel="00000000" w:rsidR="00000000" w:rsidRPr="00000000">
        <w:rPr>
          <w:rFonts w:ascii="Cambria Math" w:cs="Cambria Math" w:eastAsia="Cambria Math" w:hAnsi="Cambria Math"/>
          <w:rtl w:val="0"/>
        </w:rPr>
        <w:t xml:space="preserve">    ||   </w:t>
      </w:r>
      <m:oMath>
        <m:r>
          <w:rPr>
            <w:rFonts w:ascii="Cambria Math" w:cs="Cambria Math" w:eastAsia="Cambria Math" w:hAnsi="Cambria Math"/>
          </w:rPr>
          <m:t xml:space="preserve">sopn(a) =0,2</m:t>
        </m:r>
      </m:oMath>
      <w:r w:rsidDel="00000000" w:rsidR="00000000" w:rsidRPr="00000000">
        <w:rPr>
          <w:rtl w:val="0"/>
        </w:rPr>
      </w:r>
    </w:p>
    <w:p w:rsidR="00000000" w:rsidDel="00000000" w:rsidP="00000000" w:rsidRDefault="00000000" w:rsidRPr="00000000" w14:paraId="00000041">
      <w:pPr>
        <w:tabs>
          <w:tab w:val="left" w:pos="1191"/>
        </w:tabs>
        <w:rPr/>
      </w:pPr>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 (0,2 + 1) [1 - 0,3]^2 =</m:t>
        </m:r>
        <m:r>
          <w:rPr>
            <w:color w:val="e8eaed"/>
            <w:sz w:val="45"/>
            <w:szCs w:val="45"/>
            <w:shd w:fill="202124" w:val="clear"/>
          </w:rPr>
          <m:t xml:space="preserve">0.588</m:t>
        </m:r>
        <m:r>
          <w:rPr>
            <w:rFonts w:ascii="Cambria Math" w:cs="Cambria Math" w:eastAsia="Cambria Math" w:hAnsi="Cambria Math"/>
          </w:rPr>
          <m:t xml:space="preserve"> </m:t>
        </m:r>
      </m:oMath>
      <w:r w:rsidDel="00000000" w:rsidR="00000000" w:rsidRPr="00000000">
        <w:br w:type="page"/>
      </w:r>
      <w:r w:rsidDel="00000000" w:rsidR="00000000" w:rsidRPr="00000000">
        <w:rPr>
          <w:rtl w:val="0"/>
        </w:rPr>
      </w:r>
    </w:p>
    <w:p w:rsidR="00000000" w:rsidDel="00000000" w:rsidP="00000000" w:rsidRDefault="00000000" w:rsidRPr="00000000" w14:paraId="00000042">
      <w:pPr>
        <w:tabs>
          <w:tab w:val="left" w:pos="1191"/>
        </w:tabs>
        <w:rPr/>
      </w:pPr>
      <w:r w:rsidDel="00000000" w:rsidR="00000000" w:rsidRPr="00000000">
        <w:rPr>
          <w:rtl w:val="0"/>
        </w:rPr>
      </w:r>
    </w:p>
    <w:p w:rsidR="00000000" w:rsidDel="00000000" w:rsidP="00000000" w:rsidRDefault="00000000" w:rsidRPr="00000000" w14:paraId="00000043">
      <w:pPr>
        <w:tabs>
          <w:tab w:val="left" w:pos="1191"/>
        </w:tabs>
        <w:rPr>
          <w:b w:val="1"/>
        </w:rPr>
      </w:pPr>
      <w:r w:rsidDel="00000000" w:rsidR="00000000" w:rsidRPr="00000000">
        <w:rPr>
          <w:b w:val="1"/>
          <w:rtl w:val="0"/>
        </w:rPr>
        <w:t xml:space="preserve">P3.</w:t>
      </w:r>
    </w:p>
    <w:p w:rsidR="00000000" w:rsidDel="00000000" w:rsidP="00000000" w:rsidRDefault="00000000" w:rsidRPr="00000000" w14:paraId="00000044">
      <w:pPr>
        <w:pStyle w:val="Subtitle"/>
        <w:rPr/>
      </w:pPr>
      <w:bookmarkStart w:colFirst="0" w:colLast="0" w:name="_heading=h.594griqdzg03" w:id="1"/>
      <w:bookmarkEnd w:id="1"/>
      <w:r w:rsidDel="00000000" w:rsidR="00000000" w:rsidRPr="00000000">
        <w:rPr>
          <w:rtl w:val="0"/>
        </w:rPr>
        <w:t xml:space="preserve">R = </w:t>
      </w:r>
    </w:p>
    <w:p w:rsidR="00000000" w:rsidDel="00000000" w:rsidP="00000000" w:rsidRDefault="00000000" w:rsidRPr="00000000" w14:paraId="00000045">
      <w:pPr>
        <w:rPr/>
      </w:pPr>
      <w:r w:rsidDel="00000000" w:rsidR="00000000" w:rsidRPr="00000000">
        <w:rPr>
          <w:rtl w:val="0"/>
        </w:rPr>
        <w:t xml:space="preserve">v1 = Tos   v2 = Mucosidad   v3 = Dificultad respiratoria   v4 = Dolor en el pecho </w:t>
      </w:r>
    </w:p>
    <w:p w:rsidR="00000000" w:rsidDel="00000000" w:rsidP="00000000" w:rsidRDefault="00000000" w:rsidRPr="00000000" w14:paraId="00000046">
      <w:pPr>
        <w:rPr/>
      </w:pPr>
      <w:r w:rsidDel="00000000" w:rsidR="00000000" w:rsidRPr="00000000">
        <w:rPr>
          <w:rtl w:val="0"/>
        </w:rPr>
        <w:t xml:space="preserve">v5 = Presión sanguínea anormal   v6 = Estación invierno</w:t>
      </w:r>
    </w:p>
    <w:p w:rsidR="00000000" w:rsidDel="00000000" w:rsidP="00000000" w:rsidRDefault="00000000" w:rsidRPr="00000000" w14:paraId="00000047">
      <w:pPr>
        <w:rPr/>
      </w:pPr>
      <w:r w:rsidDel="00000000" w:rsidR="00000000" w:rsidRPr="00000000">
        <w:rPr>
          <w:rtl w:val="0"/>
        </w:rPr>
        <w:t xml:space="preserve">A1 = [v1, v2, v3, v4, v5]</w:t>
      </w:r>
    </w:p>
    <w:p w:rsidR="00000000" w:rsidDel="00000000" w:rsidP="00000000" w:rsidRDefault="00000000" w:rsidRPr="00000000" w14:paraId="00000048">
      <w:pPr>
        <w:rPr/>
      </w:pPr>
      <w:r w:rsidDel="00000000" w:rsidR="00000000" w:rsidRPr="00000000">
        <w:rPr>
          <w:rtl w:val="0"/>
        </w:rPr>
        <w:t xml:space="preserve">A2 = [v1, v2, v3, v4, v5, v6]</w:t>
      </w:r>
    </w:p>
    <w:p w:rsidR="00000000" w:rsidDel="00000000" w:rsidP="00000000" w:rsidRDefault="00000000" w:rsidRPr="00000000" w14:paraId="00000049">
      <w:pPr>
        <w:rPr/>
      </w:pPr>
      <w:r w:rsidDel="00000000" w:rsidR="00000000" w:rsidRPr="00000000">
        <w:rPr>
          <w:rtl w:val="0"/>
        </w:rPr>
        <w:t xml:space="preserve">B = Alergia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Tabla sin considerar la estación</w:t>
      </w:r>
    </w:p>
    <w:tbl>
      <w:tblPr>
        <w:tblStyle w:val="Table2"/>
        <w:tblW w:w="842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
        <w:gridCol w:w="1205"/>
        <w:gridCol w:w="1204"/>
        <w:gridCol w:w="1204"/>
        <w:gridCol w:w="1204"/>
        <w:gridCol w:w="1204"/>
        <w:gridCol w:w="1204"/>
        <w:tblGridChange w:id="0">
          <w:tblGrid>
            <w:gridCol w:w="1205"/>
            <w:gridCol w:w="1205"/>
            <w:gridCol w:w="1204"/>
            <w:gridCol w:w="1204"/>
            <w:gridCol w:w="1204"/>
            <w:gridCol w:w="1204"/>
            <w:gridCol w:w="120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jc w:val="center"/>
              <w:rPr>
                <w:b w:val="1"/>
              </w:rPr>
            </w:pPr>
            <w:r w:rsidDel="00000000" w:rsidR="00000000" w:rsidRPr="00000000">
              <w:rPr>
                <w:b w:val="1"/>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jc w:val="center"/>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jc w:val="center"/>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jc w:val="center"/>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jc w:val="center"/>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jc w:val="center"/>
              <w:rPr>
                <w:b w:val="1"/>
              </w:rPr>
            </w:pPr>
            <w:r w:rsidDel="00000000" w:rsidR="00000000" w:rsidRPr="00000000">
              <w:rPr>
                <w:b w:val="1"/>
                <w:rtl w:val="0"/>
              </w:rPr>
              <w:t xml:space="preserve">x1</w:t>
            </w:r>
          </w:p>
        </w:tc>
        <w:tc>
          <w:tcPr>
            <w:shd w:fill="fff2cc"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jc w:val="center"/>
              <w:rPr/>
            </w:pPr>
            <w:r w:rsidDel="00000000" w:rsidR="00000000" w:rsidRPr="00000000">
              <w:rPr>
                <w:rtl w:val="0"/>
              </w:rPr>
              <w:t xml:space="preserve">1</w:t>
            </w:r>
          </w:p>
        </w:tc>
        <w:tc>
          <w:tcPr>
            <w:shd w:fill="c9daf8"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0" w:line="240" w:lineRule="auto"/>
              <w:jc w:val="center"/>
              <w:rPr>
                <w:b w:val="1"/>
              </w:rPr>
            </w:pPr>
            <w:r w:rsidDel="00000000" w:rsidR="00000000" w:rsidRPr="00000000">
              <w:rPr>
                <w:b w:val="1"/>
                <w:rtl w:val="0"/>
              </w:rPr>
              <w:t xml:space="preserve">x2</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after="0" w:line="240" w:lineRule="auto"/>
              <w:jc w:val="center"/>
              <w:rPr>
                <w:b w:val="1"/>
              </w:rPr>
            </w:pPr>
            <w:r w:rsidDel="00000000" w:rsidR="00000000" w:rsidRPr="00000000">
              <w:rPr>
                <w:b w:val="1"/>
                <w:rtl w:val="0"/>
              </w:rPr>
              <w:t xml:space="preserve">x3</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jc w:val="center"/>
              <w:rPr>
                <w:b w:val="1"/>
              </w:rPr>
            </w:pPr>
            <w:r w:rsidDel="00000000" w:rsidR="00000000" w:rsidRPr="00000000">
              <w:rPr>
                <w:b w:val="1"/>
                <w:rtl w:val="0"/>
              </w:rPr>
              <w:t xml:space="preserve">x4</w:t>
            </w:r>
          </w:p>
        </w:tc>
        <w:tc>
          <w:tcPr>
            <w:shd w:fill="fff2cc"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jc w:val="center"/>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jc w:val="center"/>
              <w:rPr>
                <w:b w:val="1"/>
              </w:rPr>
            </w:pPr>
            <w:r w:rsidDel="00000000" w:rsidR="00000000" w:rsidRPr="00000000">
              <w:rPr>
                <w:b w:val="1"/>
                <w:rtl w:val="0"/>
              </w:rPr>
              <w:t xml:space="preserve">x5</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jc w:val="center"/>
              <w:rPr/>
            </w:pPr>
            <w:r w:rsidDel="00000000" w:rsidR="00000000" w:rsidRPr="00000000">
              <w:rPr>
                <w:rtl w:val="0"/>
              </w:rPr>
              <w:t xml:space="preserve">1</w:t>
            </w:r>
          </w:p>
        </w:tc>
      </w:tr>
    </w:tbl>
    <w:p w:rsidR="00000000" w:rsidDel="00000000" w:rsidP="00000000" w:rsidRDefault="00000000" w:rsidRPr="00000000" w14:paraId="00000076">
      <w:pPr>
        <w:ind w:left="1440" w:firstLine="72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Soporte(A1, B) = 1</w:t>
      </w:r>
    </w:p>
    <w:p w:rsidR="00000000" w:rsidDel="00000000" w:rsidP="00000000" w:rsidRDefault="00000000" w:rsidRPr="00000000" w14:paraId="00000078">
      <w:pPr>
        <w:rPr/>
      </w:pPr>
      <w:r w:rsidDel="00000000" w:rsidR="00000000" w:rsidRPr="00000000">
        <w:rPr>
          <w:rtl w:val="0"/>
        </w:rPr>
        <w:t xml:space="preserve">Soporte(A1)  = 2</w:t>
      </w:r>
    </w:p>
    <w:p w:rsidR="00000000" w:rsidDel="00000000" w:rsidP="00000000" w:rsidRDefault="00000000" w:rsidRPr="00000000" w14:paraId="00000079">
      <w:pPr>
        <w:rPr/>
      </w:pPr>
      <w:r w:rsidDel="00000000" w:rsidR="00000000" w:rsidRPr="00000000">
        <w:rPr>
          <w:rtl w:val="0"/>
        </w:rPr>
        <w:t xml:space="preserve">Confianza = Soporte(A1, B) /  Soporte(A1)</w:t>
      </w:r>
    </w:p>
    <w:p w:rsidR="00000000" w:rsidDel="00000000" w:rsidP="00000000" w:rsidRDefault="00000000" w:rsidRPr="00000000" w14:paraId="0000007A">
      <w:pPr>
        <w:rPr/>
      </w:pPr>
      <w:r w:rsidDel="00000000" w:rsidR="00000000" w:rsidRPr="00000000">
        <w:rPr>
          <w:rtl w:val="0"/>
        </w:rPr>
        <w:tab/>
        <w:t xml:space="preserve">      = 1 / 2 = 0.5</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Tabla considerando la estación</w:t>
      </w:r>
    </w:p>
    <w:tbl>
      <w:tblPr>
        <w:tblStyle w:val="Table3"/>
        <w:tblW w:w="9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7498443014324"/>
        <w:gridCol w:w="1204.7498443014324"/>
        <w:gridCol w:w="1203.7500518995225"/>
        <w:gridCol w:w="1203.7500518995225"/>
        <w:gridCol w:w="1203.7500518995225"/>
        <w:gridCol w:w="1203.7500518995225"/>
        <w:gridCol w:w="1203.7500518995225"/>
        <w:gridCol w:w="1203.7500518995225"/>
        <w:tblGridChange w:id="0">
          <w:tblGrid>
            <w:gridCol w:w="1204.7498443014324"/>
            <w:gridCol w:w="1204.7498443014324"/>
            <w:gridCol w:w="1203.7500518995225"/>
            <w:gridCol w:w="1203.7500518995225"/>
            <w:gridCol w:w="1203.7500518995225"/>
            <w:gridCol w:w="1203.7500518995225"/>
            <w:gridCol w:w="1203.7500518995225"/>
            <w:gridCol w:w="1203.75005189952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jc w:val="left"/>
              <w:rPr/>
            </w:pPr>
            <w:r w:rsidDel="00000000" w:rsidR="00000000" w:rsidRPr="00000000">
              <w:rPr>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jc w:val="left"/>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jc w:val="left"/>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jc w:val="left"/>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jc w:val="left"/>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jc w:val="left"/>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jc w:val="left"/>
              <w:rPr/>
            </w:pPr>
            <w:r w:rsidDel="00000000" w:rsidR="00000000" w:rsidRPr="00000000">
              <w:rPr>
                <w:rtl w:val="0"/>
              </w:rPr>
              <w:t xml:space="preserve">v6</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jc w:val="left"/>
              <w:rPr/>
            </w:pPr>
            <w:r w:rsidDel="00000000" w:rsidR="00000000" w:rsidRPr="00000000">
              <w:rPr>
                <w:rtl w:val="0"/>
              </w:rPr>
              <w:t xml:space="preserve">x1</w:t>
            </w:r>
          </w:p>
        </w:tc>
        <w:tc>
          <w:tcPr>
            <w:shd w:fill="fff2cc"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jc w:val="left"/>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jc w:val="left"/>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jc w:val="left"/>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jc w:val="left"/>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jc w:val="left"/>
              <w:rPr/>
            </w:pPr>
            <w:r w:rsidDel="00000000" w:rsidR="00000000" w:rsidRPr="00000000">
              <w:rPr>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jc w:val="left"/>
              <w:rPr/>
            </w:pPr>
            <w:r w:rsidDel="00000000" w:rsidR="00000000" w:rsidRPr="00000000">
              <w:rPr>
                <w:rtl w:val="0"/>
              </w:rPr>
              <w:t xml:space="preserve">1</w:t>
            </w:r>
          </w:p>
        </w:tc>
        <w:tc>
          <w:tcPr>
            <w:shd w:fill="c9daf8"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jc w:val="left"/>
              <w:rPr/>
            </w:pPr>
            <w:r w:rsidDel="00000000" w:rsidR="00000000" w:rsidRPr="00000000">
              <w:rPr>
                <w:rtl w:val="0"/>
              </w:rPr>
              <w:t xml:space="preserve">x2</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jc w:val="left"/>
              <w:rPr/>
            </w:pPr>
            <w:r w:rsidDel="00000000" w:rsidR="00000000" w:rsidRPr="00000000">
              <w:rPr>
                <w:rtl w:val="0"/>
              </w:rPr>
              <w:t xml:space="preserve">x3</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jc w:val="left"/>
              <w:rPr/>
            </w:pPr>
            <w:r w:rsidDel="00000000" w:rsidR="00000000" w:rsidRPr="00000000">
              <w:rPr>
                <w:rtl w:val="0"/>
              </w:rPr>
              <w:t xml:space="preserve">x4</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0" w:line="240" w:lineRule="auto"/>
              <w:jc w:val="left"/>
              <w:rPr/>
            </w:pPr>
            <w:r w:rsidDel="00000000" w:rsidR="00000000" w:rsidRPr="00000000">
              <w:rPr>
                <w:rtl w:val="0"/>
              </w:rPr>
              <w:t xml:space="preserve">1</w:t>
            </w:r>
          </w:p>
        </w:tc>
        <w:tc>
          <w:tcPr>
            <w:shd w:fill="f4cccc"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jc w:val="left"/>
              <w:rPr/>
            </w:pPr>
            <w:r w:rsidDel="00000000" w:rsidR="00000000" w:rsidRPr="00000000">
              <w:rPr>
                <w:rtl w:val="0"/>
              </w:rPr>
              <w:t xml:space="preserve">x5</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jc w:val="left"/>
              <w:rPr/>
            </w:pPr>
            <w:r w:rsidDel="00000000" w:rsidR="00000000" w:rsidRPr="00000000">
              <w:rPr>
                <w:rtl w:val="0"/>
              </w:rPr>
              <w:t xml:space="preserve">1</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Soporte(A2, B) = 1</w:t>
      </w:r>
    </w:p>
    <w:p w:rsidR="00000000" w:rsidDel="00000000" w:rsidP="00000000" w:rsidRDefault="00000000" w:rsidRPr="00000000" w14:paraId="000000B2">
      <w:pPr>
        <w:rPr/>
      </w:pPr>
      <w:r w:rsidDel="00000000" w:rsidR="00000000" w:rsidRPr="00000000">
        <w:rPr>
          <w:rtl w:val="0"/>
        </w:rPr>
        <w:t xml:space="preserve">Soporte(A2)  = 1</w:t>
      </w:r>
    </w:p>
    <w:p w:rsidR="00000000" w:rsidDel="00000000" w:rsidP="00000000" w:rsidRDefault="00000000" w:rsidRPr="00000000" w14:paraId="000000B3">
      <w:pPr>
        <w:rPr/>
      </w:pPr>
      <w:r w:rsidDel="00000000" w:rsidR="00000000" w:rsidRPr="00000000">
        <w:rPr>
          <w:rtl w:val="0"/>
        </w:rPr>
        <w:t xml:space="preserve">Confianza(A2, B) = Soporte(A2, B) /  Soporte(A2)</w:t>
      </w:r>
    </w:p>
    <w:p w:rsidR="00000000" w:rsidDel="00000000" w:rsidP="00000000" w:rsidRDefault="00000000" w:rsidRPr="00000000" w14:paraId="000000B4">
      <w:pPr>
        <w:rPr/>
      </w:pPr>
      <w:r w:rsidDel="00000000" w:rsidR="00000000" w:rsidRPr="00000000">
        <w:rPr>
          <w:rtl w:val="0"/>
        </w:rPr>
        <w:tab/>
        <w:t xml:space="preserve">      = 1 / 1 = 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Dado que en la tabla 2 se agregó la variable estación, y que esta hizo disminuir el Soporte(A2) (dado que para el paciente 4 ya no se cumplían todos los v), es que se puede decir que:</w:t>
      </w:r>
    </w:p>
    <w:p w:rsidR="00000000" w:rsidDel="00000000" w:rsidP="00000000" w:rsidRDefault="00000000" w:rsidRPr="00000000" w14:paraId="000000B7">
      <w:pPr>
        <w:jc w:val="center"/>
        <w:rPr>
          <w:b w:val="1"/>
        </w:rPr>
      </w:pPr>
      <w:r w:rsidDel="00000000" w:rsidR="00000000" w:rsidRPr="00000000">
        <w:rPr>
          <w:rtl w:val="0"/>
        </w:rPr>
        <w:t xml:space="preserve">Confianza(A2,B) &gt; Confianza(A1, B) </w:t>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7" w:type="default"/>
      <w:footerReference r:id="rId8" w:type="default"/>
      <w:pgSz w:h="15842" w:w="12242" w:orient="portrait"/>
      <w:pgMar w:bottom="1418" w:top="1418"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276" w:lineRule="auto"/>
      <w:jc w:val="left"/>
      <w:rPr>
        <w:color w:val="000000"/>
        <w:sz w:val="10"/>
        <w:szCs w:val="10"/>
      </w:rPr>
    </w:pPr>
    <w:r w:rsidDel="00000000" w:rsidR="00000000" w:rsidRPr="00000000">
      <w:rPr>
        <w:rtl w:val="0"/>
      </w:rPr>
    </w:r>
  </w:p>
  <w:tbl>
    <w:tblPr>
      <w:tblStyle w:val="Table5"/>
      <w:tblW w:w="9546.0" w:type="dxa"/>
      <w:jc w:val="center"/>
      <w:tblLayout w:type="fixed"/>
      <w:tblLook w:val="0000"/>
    </w:tblPr>
    <w:tblGrid>
      <w:gridCol w:w="4773"/>
      <w:gridCol w:w="4773"/>
      <w:tblGridChange w:id="0">
        <w:tblGrid>
          <w:gridCol w:w="4773"/>
          <w:gridCol w:w="4773"/>
        </w:tblGrid>
      </w:tblGridChange>
    </w:tblGrid>
    <w:tr>
      <w:trPr>
        <w:cantSplit w:val="0"/>
        <w:tblHeader w:val="0"/>
      </w:trPr>
      <w:tc>
        <w:tcPr>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color w:val="000000"/>
              <w:sz w:val="16"/>
              <w:szCs w:val="16"/>
              <w:rtl w:val="0"/>
            </w:rPr>
            <w:t xml:space="preserve">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b w:val="1"/>
              <w:color w:val="000000"/>
              <w:sz w:val="16"/>
              <w:szCs w:val="16"/>
              <w:rtl w:val="0"/>
            </w:rPr>
            <w:t xml:space="preserve"> </w:t>
          </w:r>
          <w:r w:rsidDel="00000000" w:rsidR="00000000" w:rsidRPr="00000000">
            <w:rPr>
              <w:color w:val="000000"/>
              <w:sz w:val="16"/>
              <w:szCs w:val="16"/>
              <w:rtl w:val="0"/>
            </w:rPr>
            <w:t xml:space="preserve">de </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p>
  <w:tbl>
    <w:tblPr>
      <w:tblStyle w:val="Table4"/>
      <w:tblW w:w="9850.0" w:type="dxa"/>
      <w:jc w:val="center"/>
      <w:tblLayout w:type="fixed"/>
      <w:tblLook w:val="0000"/>
    </w:tblPr>
    <w:tblGrid>
      <w:gridCol w:w="1020"/>
      <w:gridCol w:w="2429"/>
      <w:gridCol w:w="6401"/>
      <w:tblGridChange w:id="0">
        <w:tblGrid>
          <w:gridCol w:w="1020"/>
          <w:gridCol w:w="2429"/>
          <w:gridCol w:w="6401"/>
        </w:tblGrid>
      </w:tblGridChange>
    </w:tblGrid>
    <w:tr>
      <w:trPr>
        <w:cantSplit w:val="0"/>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252"/>
              <w:tab w:val="right" w:pos="8504"/>
              <w:tab w:val="left" w:pos="2310"/>
            </w:tabs>
            <w:rPr>
              <w:color w:val="000000"/>
              <w:sz w:val="16"/>
              <w:szCs w:val="16"/>
            </w:rPr>
          </w:pPr>
          <w:r w:rsidDel="00000000" w:rsidR="00000000" w:rsidRPr="00000000">
            <w:rPr>
              <w:color w:val="000000"/>
            </w:rPr>
            <w:drawing>
              <wp:inline distB="0" distT="0" distL="0" distR="0">
                <wp:extent cx="507368" cy="654044"/>
                <wp:effectExtent b="0" l="0" r="0" t="0"/>
                <wp:docPr descr="D:\Usach\Logos\Logo-Monocolor-Negro.gif" id="6" name="image1.gif"/>
                <a:graphic>
                  <a:graphicData uri="http://schemas.openxmlformats.org/drawingml/2006/picture">
                    <pic:pic>
                      <pic:nvPicPr>
                        <pic:cNvPr descr="D:\Usach\Logos\Logo-Monocolor-Negro.gif" id="0" name="image1.gif"/>
                        <pic:cNvPicPr preferRelativeResize="0"/>
                      </pic:nvPicPr>
                      <pic:blipFill>
                        <a:blip r:embed="rId1"/>
                        <a:srcRect b="0" l="0" r="0" t="0"/>
                        <a:stretch>
                          <a:fillRect/>
                        </a:stretch>
                      </pic:blipFill>
                      <pic:spPr>
                        <a:xfrm>
                          <a:off x="0" y="0"/>
                          <a:ext cx="507368" cy="654044"/>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252"/>
              <w:tab w:val="right" w:pos="8504"/>
            </w:tabs>
            <w:spacing w:after="60" w:lineRule="auto"/>
            <w:jc w:val="left"/>
            <w:rPr>
              <w:color w:val="000000"/>
              <w:sz w:val="17"/>
              <w:szCs w:val="17"/>
            </w:rPr>
          </w:pPr>
          <w:r w:rsidDel="00000000" w:rsidR="00000000" w:rsidRPr="00000000">
            <w:rPr>
              <w:color w:val="000000"/>
              <w:sz w:val="17"/>
              <w:szCs w:val="17"/>
              <w:rtl w:val="0"/>
            </w:rPr>
            <w:t xml:space="preserve">Facultad de Ingeniería</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252"/>
              <w:tab w:val="right" w:pos="8504"/>
            </w:tabs>
            <w:jc w:val="left"/>
            <w:rPr>
              <w:color w:val="000000"/>
              <w:sz w:val="16"/>
              <w:szCs w:val="16"/>
            </w:rPr>
          </w:pPr>
          <w:r w:rsidDel="00000000" w:rsidR="00000000" w:rsidRPr="00000000">
            <w:rPr>
              <w:color w:val="000000"/>
              <w:sz w:val="16"/>
              <w:szCs w:val="16"/>
              <w:rtl w:val="0"/>
            </w:rPr>
            <w:t xml:space="preserve">Departamento de Ingeniería Informática</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252"/>
              <w:tab w:val="right" w:pos="8504"/>
            </w:tabs>
            <w:spacing w:after="60" w:lineRule="auto"/>
            <w:jc w:val="right"/>
            <w:rPr>
              <w:b w:val="1"/>
              <w:color w:val="000000"/>
              <w:sz w:val="18"/>
              <w:szCs w:val="18"/>
            </w:rPr>
          </w:pPr>
          <w:r w:rsidDel="00000000" w:rsidR="00000000" w:rsidRPr="00000000">
            <w:rPr>
              <w:b w:val="1"/>
              <w:color w:val="000000"/>
              <w:sz w:val="18"/>
              <w:szCs w:val="18"/>
              <w:rtl w:val="0"/>
            </w:rPr>
            <w:t xml:space="preserve">INTELIGENCIA COMPUTACIONAL</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252"/>
              <w:tab w:val="right" w:pos="8504"/>
            </w:tabs>
            <w:spacing w:after="60" w:lineRule="auto"/>
            <w:jc w:val="right"/>
            <w:rPr>
              <w:color w:val="000000"/>
              <w:sz w:val="18"/>
              <w:szCs w:val="18"/>
            </w:rPr>
          </w:pPr>
          <w:r w:rsidDel="00000000" w:rsidR="00000000" w:rsidRPr="00000000">
            <w:rPr>
              <w:color w:val="000000"/>
              <w:sz w:val="18"/>
              <w:szCs w:val="18"/>
              <w:rtl w:val="0"/>
            </w:rPr>
            <w:t xml:space="preserve">Guía de ejercicios Capítulo IV </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252"/>
              <w:tab w:val="right" w:pos="8504"/>
            </w:tabs>
            <w:spacing w:after="60" w:lineRule="auto"/>
            <w:jc w:val="right"/>
            <w:rPr>
              <w:color w:val="000000"/>
              <w:sz w:val="16"/>
              <w:szCs w:val="16"/>
            </w:rPr>
          </w:pPr>
          <w:r w:rsidDel="00000000" w:rsidR="00000000" w:rsidRPr="00000000">
            <w:rPr>
              <w:color w:val="000000"/>
              <w:sz w:val="18"/>
              <w:szCs w:val="18"/>
              <w:rtl w:val="0"/>
            </w:rPr>
            <w:t xml:space="preserve">Reglas de Asociación</w:t>
          </w: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252"/>
        <w:tab w:val="right" w:pos="8504"/>
      </w:tabs>
      <w:rPr>
        <w:color w:val="000000"/>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L"/>
      </w:rPr>
    </w:rPrDefault>
    <w:pPrDefault>
      <w:pPr>
        <w:spacing w:after="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64" w:lineRule="auto"/>
      <w:jc w:val="left"/>
    </w:pPr>
    <w:rPr>
      <w:b w:val="1"/>
      <w:sz w:val="32"/>
      <w:szCs w:val="32"/>
    </w:rPr>
  </w:style>
  <w:style w:type="paragraph" w:styleId="Heading2">
    <w:name w:val="heading 2"/>
    <w:basedOn w:val="Normal"/>
    <w:next w:val="Normal"/>
    <w:pPr>
      <w:keepNext w:val="1"/>
      <w:keepLines w:val="1"/>
      <w:spacing w:before="120" w:lineRule="auto"/>
      <w:jc w:val="left"/>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000000" w:space="1" w:sz="4" w:val="single"/>
      </w:pBdr>
      <w:spacing w:before="120" w:lineRule="auto"/>
    </w:pPr>
    <w:rPr>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64" w:lineRule="auto"/>
      <w:jc w:val="left"/>
    </w:pPr>
    <w:rPr>
      <w:b w:val="1"/>
      <w:sz w:val="32"/>
      <w:szCs w:val="32"/>
    </w:rPr>
  </w:style>
  <w:style w:type="paragraph" w:styleId="Heading2">
    <w:name w:val="heading 2"/>
    <w:basedOn w:val="Normal"/>
    <w:next w:val="Normal"/>
    <w:pPr>
      <w:keepNext w:val="1"/>
      <w:keepLines w:val="1"/>
      <w:spacing w:before="120" w:lineRule="auto"/>
      <w:jc w:val="left"/>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000000" w:space="1" w:sz="4" w:val="single"/>
      </w:pBdr>
      <w:spacing w:before="120" w:lineRule="auto"/>
    </w:pPr>
    <w:rPr>
      <w:b w:val="1"/>
      <w:sz w:val="38"/>
      <w:szCs w:val="38"/>
    </w:rPr>
  </w:style>
  <w:style w:type="paragraph" w:styleId="Normal" w:default="1">
    <w:name w:val="Normal"/>
    <w:qFormat w:val="1"/>
    <w:rsid w:val="00C71848"/>
  </w:style>
  <w:style w:type="paragraph" w:styleId="Ttulo1">
    <w:name w:val="heading 1"/>
    <w:basedOn w:val="Normal"/>
    <w:next w:val="Normal"/>
    <w:link w:val="Ttulo1Car"/>
    <w:qFormat w:val="1"/>
    <w:rsid w:val="00CB42EE"/>
    <w:pPr>
      <w:keepNext w:val="1"/>
      <w:spacing w:before="240" w:line="264" w:lineRule="auto"/>
      <w:jc w:val="left"/>
      <w:outlineLvl w:val="0"/>
    </w:pPr>
    <w:rPr>
      <w:b w:val="1"/>
      <w:bCs w:val="1"/>
      <w:kern w:val="32"/>
      <w:sz w:val="32"/>
      <w:szCs w:val="32"/>
    </w:rPr>
  </w:style>
  <w:style w:type="paragraph" w:styleId="Ttulo2">
    <w:name w:val="heading 2"/>
    <w:basedOn w:val="Normal"/>
    <w:next w:val="Normal"/>
    <w:link w:val="Ttulo2Car"/>
    <w:qFormat w:val="1"/>
    <w:rsid w:val="00FA366C"/>
    <w:pPr>
      <w:keepNext w:val="1"/>
      <w:keepLines w:val="1"/>
      <w:spacing w:before="120"/>
      <w:jc w:val="left"/>
      <w:outlineLvl w:val="1"/>
    </w:pPr>
    <w:rPr>
      <w:rFonts w:eastAsia="Calibri"/>
      <w:b w:val="1"/>
      <w:bCs w:val="1"/>
      <w:sz w:val="28"/>
      <w:szCs w:val="26"/>
      <w:lang w:eastAsia="en-US"/>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qFormat w:val="1"/>
    <w:rsid w:val="00951A3C"/>
    <w:pPr>
      <w:pBdr>
        <w:bottom w:color="auto" w:space="1" w:sz="4" w:val="single"/>
      </w:pBdr>
      <w:spacing w:before="120"/>
      <w:outlineLvl w:val="0"/>
    </w:pPr>
    <w:rPr>
      <w:b w:val="1"/>
      <w:bCs w:val="1"/>
      <w:kern w:val="28"/>
      <w:sz w:val="38"/>
      <w:szCs w:val="32"/>
    </w:rPr>
  </w:style>
  <w:style w:type="paragraph" w:styleId="Encabezado">
    <w:name w:val="header"/>
    <w:basedOn w:val="Normal"/>
    <w:rsid w:val="006845F0"/>
    <w:pPr>
      <w:tabs>
        <w:tab w:val="center" w:pos="4252"/>
        <w:tab w:val="right" w:pos="8504"/>
      </w:tabs>
    </w:pPr>
  </w:style>
  <w:style w:type="paragraph" w:styleId="Piedepgina">
    <w:name w:val="footer"/>
    <w:basedOn w:val="Normal"/>
    <w:rsid w:val="006845F0"/>
    <w:pPr>
      <w:tabs>
        <w:tab w:val="center" w:pos="4252"/>
        <w:tab w:val="right" w:pos="8504"/>
      </w:tabs>
    </w:pPr>
  </w:style>
  <w:style w:type="table" w:styleId="Tablaconcuadrcula">
    <w:name w:val="Table Grid"/>
    <w:basedOn w:val="Tablanormal"/>
    <w:rsid w:val="006845F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merodepgina">
    <w:name w:val="page number"/>
    <w:basedOn w:val="Fuentedeprrafopredeter"/>
    <w:rsid w:val="00DD0BD7"/>
  </w:style>
  <w:style w:type="paragraph" w:styleId="Prrafodelista1" w:customStyle="1">
    <w:name w:val="Párrafo de lista1"/>
    <w:basedOn w:val="Normal"/>
    <w:rsid w:val="00001D83"/>
    <w:pPr>
      <w:spacing w:after="200" w:line="276" w:lineRule="auto"/>
      <w:ind w:left="720"/>
      <w:contextualSpacing w:val="1"/>
    </w:pPr>
    <w:rPr>
      <w:rFonts w:ascii="Calibri" w:hAnsi="Calibri"/>
      <w:szCs w:val="22"/>
      <w:lang w:eastAsia="en-US"/>
    </w:rPr>
  </w:style>
  <w:style w:type="character" w:styleId="longtext" w:customStyle="1">
    <w:name w:val="long_text"/>
    <w:basedOn w:val="Fuentedeprrafopredeter"/>
    <w:rsid w:val="004100BC"/>
  </w:style>
  <w:style w:type="character" w:styleId="hps" w:customStyle="1">
    <w:name w:val="hps"/>
    <w:basedOn w:val="Fuentedeprrafopredeter"/>
    <w:rsid w:val="004100BC"/>
  </w:style>
  <w:style w:type="paragraph" w:styleId="Sinespaciado">
    <w:name w:val="No Spacing"/>
    <w:qFormat w:val="1"/>
    <w:rsid w:val="004100BC"/>
    <w:rPr>
      <w:rFonts w:ascii="Calibri" w:eastAsia="Calibri" w:hAnsi="Calibri"/>
      <w:sz w:val="22"/>
      <w:szCs w:val="22"/>
      <w:lang w:eastAsia="en-US"/>
    </w:rPr>
  </w:style>
  <w:style w:type="paragraph" w:styleId="NormalWeb">
    <w:name w:val="Normal (Web)"/>
    <w:basedOn w:val="Normal"/>
    <w:uiPriority w:val="99"/>
    <w:semiHidden w:val="1"/>
    <w:unhideWhenUsed w:val="1"/>
    <w:rsid w:val="004100BC"/>
    <w:pPr>
      <w:spacing w:after="100" w:afterAutospacing="1" w:before="100" w:beforeAutospacing="1"/>
    </w:pPr>
    <w:rPr>
      <w:lang w:eastAsia="es-CL"/>
    </w:rPr>
  </w:style>
  <w:style w:type="character" w:styleId="Ttulo2Car" w:customStyle="1">
    <w:name w:val="Título 2 Car"/>
    <w:link w:val="Ttulo2"/>
    <w:locked w:val="1"/>
    <w:rsid w:val="00FA366C"/>
    <w:rPr>
      <w:rFonts w:ascii="Arial" w:eastAsia="Calibri" w:hAnsi="Arial"/>
      <w:b w:val="1"/>
      <w:bCs w:val="1"/>
      <w:sz w:val="28"/>
      <w:szCs w:val="26"/>
      <w:lang w:eastAsia="en-US" w:val="es-CL"/>
    </w:rPr>
  </w:style>
  <w:style w:type="character" w:styleId="Textoennegrita">
    <w:name w:val="Strong"/>
    <w:qFormat w:val="1"/>
    <w:rsid w:val="006E56F8"/>
    <w:rPr>
      <w:rFonts w:cs="Times New Roman"/>
      <w:b w:val="1"/>
      <w:bCs w:val="1"/>
    </w:rPr>
  </w:style>
  <w:style w:type="table" w:styleId="Tablaconlista3">
    <w:name w:val="Table List 3"/>
    <w:basedOn w:val="Tablanormal"/>
    <w:rsid w:val="00A70323"/>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paragraph" w:styleId="Textodeglobo">
    <w:name w:val="Balloon Text"/>
    <w:basedOn w:val="Normal"/>
    <w:link w:val="TextodegloboCar"/>
    <w:rsid w:val="008E0440"/>
    <w:rPr>
      <w:rFonts w:ascii="Tahoma" w:cs="Tahoma" w:hAnsi="Tahoma"/>
      <w:sz w:val="16"/>
      <w:szCs w:val="16"/>
    </w:rPr>
  </w:style>
  <w:style w:type="character" w:styleId="TextodegloboCar" w:customStyle="1">
    <w:name w:val="Texto de globo Car"/>
    <w:link w:val="Textodeglobo"/>
    <w:rsid w:val="008E0440"/>
    <w:rPr>
      <w:rFonts w:ascii="Tahoma" w:cs="Tahoma" w:hAnsi="Tahoma"/>
      <w:sz w:val="16"/>
      <w:szCs w:val="16"/>
      <w:lang w:val="es-CL"/>
    </w:rPr>
  </w:style>
  <w:style w:type="character" w:styleId="TtuloCar" w:customStyle="1">
    <w:name w:val="Título Car"/>
    <w:link w:val="Ttulo"/>
    <w:rsid w:val="00951A3C"/>
    <w:rPr>
      <w:rFonts w:ascii="Arial" w:hAnsi="Arial"/>
      <w:b w:val="1"/>
      <w:bCs w:val="1"/>
      <w:kern w:val="28"/>
      <w:sz w:val="38"/>
      <w:szCs w:val="32"/>
      <w:lang w:val="es-CL"/>
    </w:rPr>
  </w:style>
  <w:style w:type="character" w:styleId="Ttulo1Car" w:customStyle="1">
    <w:name w:val="Título 1 Car"/>
    <w:link w:val="Ttulo1"/>
    <w:rsid w:val="00CB42EE"/>
    <w:rPr>
      <w:rFonts w:ascii="Arial" w:hAnsi="Arial"/>
      <w:b w:val="1"/>
      <w:bCs w:val="1"/>
      <w:kern w:val="32"/>
      <w:sz w:val="32"/>
      <w:szCs w:val="32"/>
      <w:lang w:val="es-CL"/>
    </w:rPr>
  </w:style>
  <w:style w:type="paragraph" w:styleId="Subttulo">
    <w:name w:val="Subtitle"/>
    <w:basedOn w:val="Normal"/>
    <w:next w:val="Normal"/>
    <w:link w:val="SubttuloCar"/>
    <w:pPr>
      <w:spacing w:after="60" w:before="240"/>
    </w:pPr>
    <w:rPr>
      <w:b w:val="1"/>
    </w:rPr>
  </w:style>
  <w:style w:type="character" w:styleId="SubttuloCar" w:customStyle="1">
    <w:name w:val="Subtítulo Car"/>
    <w:basedOn w:val="Fuentedeprrafopredeter"/>
    <w:link w:val="Subttulo"/>
    <w:rsid w:val="00C71848"/>
    <w:rPr>
      <w:rFonts w:ascii="Arial" w:hAnsi="Arial" w:cstheme="minorBidi" w:eastAsiaTheme="minorEastAsia"/>
      <w:b w:val="1"/>
      <w:spacing w:val="15"/>
      <w:sz w:val="24"/>
      <w:szCs w:val="22"/>
      <w:lang w:val="es-CL"/>
    </w:rPr>
  </w:style>
  <w:style w:type="paragraph" w:styleId="Prrafodelista">
    <w:name w:val="List Paragraph"/>
    <w:basedOn w:val="Normal"/>
    <w:uiPriority w:val="34"/>
    <w:qFormat w:val="1"/>
    <w:rsid w:val="005153EB"/>
    <w:pPr>
      <w:ind w:left="720"/>
      <w:contextualSpacing w:val="1"/>
    </w:pPr>
  </w:style>
  <w:style w:type="table" w:styleId="a" w:customStyle="1">
    <w:basedOn w:val="TableNormal"/>
    <w:tblPr>
      <w:tblStyleRowBandSize w:val="1"/>
      <w:tblStyleColBandSize w:val="1"/>
      <w:tblCellMar>
        <w:top w:w="0.0" w:type="dxa"/>
        <w:left w:w="115.0" w:type="dxa"/>
        <w:bottom w:w="0.0" w:type="dxa"/>
        <w:right w:w="115.0" w:type="dxa"/>
      </w:tblCellMar>
    </w:tblPr>
    <w:tcPr>
      <w:shd w:color="auto" w:fill="auto" w:val="clear"/>
    </w:tc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before="240" w:lineRule="auto"/>
    </w:pPr>
    <w:rPr>
      <w:b w:val="1"/>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spacing w:after="60" w:before="240" w:lineRule="auto"/>
    </w:pPr>
    <w:rPr>
      <w:b w:val="1"/>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IW18bWCVjRdMC0JEUtkvATB9w==">AMUW2mVLxCbOb/dT/I0koLGDGa2bsVTjKQUA7EaqzMBwMTx0Cj+C8J5ZpYVcYChxM+6BqwLsqUed47o1Vy//uxZDOvY9PNFkr4mFoM1n/96nrxShiFaAzjANX61TpG4RAgEArVVIfIgQFbQnDB7mJyC4Yn4VFynCWQ==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2022-03-27T22:00:00Z</dcterms:created>
  <dc:creator>Gonzalo Rojas</dc:creator>
</cp:coreProperties>
</file>