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Guía de ejercicios Capítulo VI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Árboles de decisión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de la Unidad</w:t>
      </w:r>
    </w:p>
    <w:tbl>
      <w:tblPr>
        <w:tblStyle w:val="Table1"/>
        <w:tblW w:w="9850.0" w:type="dxa"/>
        <w:jc w:val="left"/>
        <w:tblInd w:w="-115.0" w:type="dxa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7926"/>
        <w:gridCol w:w="1390"/>
        <w:tblGridChange w:id="0">
          <w:tblGrid>
            <w:gridCol w:w="534"/>
            <w:gridCol w:w="7926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Comprender la generación de un árbol de decisión.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Cuantificar la ganancia de información para un atributo en un conjunto de datos.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Comprender los algoritmos de generación de los árboles de decisión.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Establecer los mecanismos de poda de los árboles de decisión.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Comprender los mecanismos de equivalencia de reglas y la generalización de reglas simples.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Preguntas</w:t>
      </w:r>
    </w:p>
    <w:p w:rsidR="00000000" w:rsidDel="00000000" w:rsidP="00000000" w:rsidRDefault="00000000" w:rsidRPr="00000000" w14:paraId="00000019">
      <w:pPr>
        <w:pStyle w:val="Subtitle"/>
        <w:rPr/>
      </w:pPr>
      <w:r w:rsidDel="00000000" w:rsidR="00000000" w:rsidRPr="00000000">
        <w:rPr>
          <w:rtl w:val="0"/>
        </w:rPr>
        <w:t xml:space="preserve">P1. Razón de ganancia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la siguiente base de datos muestre los cálculos de la razón de ganancia propuestos por Quinlan, para seleccionar el atributo que presenta mejor discriminación de la clase.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69.0000000000005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1134"/>
        <w:gridCol w:w="1698"/>
        <w:tblGridChange w:id="0">
          <w:tblGrid>
            <w:gridCol w:w="1137"/>
            <w:gridCol w:w="1134"/>
            <w:gridCol w:w="169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43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r w:rsidDel="00000000" w:rsidR="00000000" w:rsidRPr="00000000">
        <w:rPr>
          <w:rtl w:val="0"/>
        </w:rPr>
        <w:t xml:space="preserve">P2. Clientes bancarios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BD de la tabla muestra dos variables seleccionadas por un banco, para clasificar clientes. Salario y si tiene hijos. Usando el método de máxima entropía propuesto por Quinlan, determine cuál de las dos variables discrimina mejor si es un buen cliente.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36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1302"/>
        <w:gridCol w:w="1814"/>
        <w:tblGridChange w:id="0">
          <w:tblGrid>
            <w:gridCol w:w="1420"/>
            <w:gridCol w:w="1302"/>
            <w:gridCol w:w="1814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Buen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r w:rsidDel="00000000" w:rsidR="00000000" w:rsidRPr="00000000">
        <w:rPr>
          <w:rtl w:val="0"/>
        </w:rPr>
        <w:t xml:space="preserve">P3. Posiciones promotor genético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 genética es muy importante determinar si un gen está expresado en un organismo particular. Una forma de averiguar si el gen está expresado o no, es saber si existe un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 antes del gen. La existencia de un determinado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 se puede medir por la existencia de aminoácidos en el inicio y final del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. Para el caso de un organismo específico, se sabe que en el inicio del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 existen dos valores posibles: Glicina (G) y Prolina (P); y en el fin del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 existen tres alternativas: Histidina (H), Metionina (M) y Lisina (L).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Usando el método de máxima entropía propuesto por Quinlan, determine cuál de las dos posiciones (inicio o fin) del </w:t>
      </w:r>
      <w:r w:rsidDel="00000000" w:rsidR="00000000" w:rsidRPr="00000000">
        <w:rPr>
          <w:i w:val="1"/>
          <w:rtl w:val="0"/>
        </w:rPr>
        <w:t xml:space="preserve">promotor</w:t>
      </w:r>
      <w:r w:rsidDel="00000000" w:rsidR="00000000" w:rsidRPr="00000000">
        <w:rPr>
          <w:rtl w:val="0"/>
        </w:rPr>
        <w:t xml:space="preserve"> discrimina mejor su existencia.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17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091"/>
        <w:gridCol w:w="946"/>
        <w:gridCol w:w="1180"/>
        <w:tblGridChange w:id="0">
          <w:tblGrid>
            <w:gridCol w:w="1091"/>
            <w:gridCol w:w="946"/>
            <w:gridCol w:w="1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Promotor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r w:rsidDel="00000000" w:rsidR="00000000" w:rsidRPr="00000000">
        <w:rPr>
          <w:rtl w:val="0"/>
        </w:rPr>
        <w:t xml:space="preserve">P4. Características del segmento 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 un electrocardiograma (ECG), el segmento ST representa el período isoeléctrico cuando los ventrículos se encuentran entre la despolarización y la repolarización.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89130" cy="1347967"/>
            <wp:effectExtent b="0" l="0" r="0" t="0"/>
            <wp:docPr descr="Segmento ST" id="14" name="image4.png"/>
            <a:graphic>
              <a:graphicData uri="http://schemas.openxmlformats.org/drawingml/2006/picture">
                <pic:pic>
                  <pic:nvPicPr>
                    <pic:cNvPr descr="Segmento ST" id="0" name="image4.png"/>
                    <pic:cNvPicPr preferRelativeResize="0"/>
                  </pic:nvPicPr>
                  <pic:blipFill>
                    <a:blip r:embed="rId7"/>
                    <a:srcRect b="9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130" cy="134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 evaluar los totales de una BD de ECG, se requiere determinar entre las características: </w:t>
      </w:r>
      <w:r w:rsidDel="00000000" w:rsidR="00000000" w:rsidRPr="00000000">
        <w:rPr>
          <w:i w:val="1"/>
          <w:rtl w:val="0"/>
        </w:rPr>
        <w:t xml:space="preserve">Depresión de segmento</w:t>
      </w:r>
      <w:r w:rsidDel="00000000" w:rsidR="00000000" w:rsidRPr="00000000">
        <w:rPr>
          <w:rtl w:val="0"/>
        </w:rPr>
        <w:t xml:space="preserve"> ST e </w:t>
      </w:r>
      <w:r w:rsidDel="00000000" w:rsidR="00000000" w:rsidRPr="00000000">
        <w:rPr>
          <w:i w:val="1"/>
          <w:rtl w:val="0"/>
        </w:rPr>
        <w:t xml:space="preserve">Inclinación del segmento</w:t>
      </w:r>
      <w:r w:rsidDel="00000000" w:rsidR="00000000" w:rsidRPr="00000000">
        <w:rPr>
          <w:rtl w:val="0"/>
        </w:rPr>
        <w:t xml:space="preserve"> ST, cual clasifica de mejor forma una </w:t>
      </w:r>
      <w:r w:rsidDel="00000000" w:rsidR="00000000" w:rsidRPr="00000000">
        <w:rPr>
          <w:i w:val="1"/>
          <w:rtl w:val="0"/>
        </w:rPr>
        <w:t xml:space="preserve">cardiopatía isquémica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 cuentan con 1.000 casos para la </w:t>
      </w:r>
      <w:r w:rsidDel="00000000" w:rsidR="00000000" w:rsidRPr="00000000">
        <w:rPr>
          <w:i w:val="1"/>
          <w:rtl w:val="0"/>
        </w:rPr>
        <w:t xml:space="preserve">Depresión del segmento</w:t>
      </w:r>
      <w:r w:rsidDel="00000000" w:rsidR="00000000" w:rsidRPr="00000000">
        <w:rPr>
          <w:rtl w:val="0"/>
        </w:rPr>
        <w:t xml:space="preserve"> ST, y 800 para el caso de </w:t>
      </w:r>
      <w:r w:rsidDel="00000000" w:rsidR="00000000" w:rsidRPr="00000000">
        <w:rPr>
          <w:i w:val="1"/>
          <w:rtl w:val="0"/>
        </w:rPr>
        <w:t xml:space="preserve">Inclinación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 segmento</w:t>
      </w:r>
      <w:r w:rsidDel="00000000" w:rsidR="00000000" w:rsidRPr="00000000">
        <w:rPr>
          <w:rtl w:val="0"/>
        </w:rPr>
        <w:t xml:space="preserve"> ST, como se muestra en las siguientes tablas.</w:t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80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2044"/>
        <w:gridCol w:w="2044"/>
        <w:gridCol w:w="1697"/>
        <w:tblGridChange w:id="0">
          <w:tblGrid>
            <w:gridCol w:w="2095"/>
            <w:gridCol w:w="2044"/>
            <w:gridCol w:w="2044"/>
            <w:gridCol w:w="16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isquemia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isquemia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depresión ST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depresión ST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0">
            <w:pPr>
              <w:spacing w:after="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80.000000000001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2139"/>
        <w:gridCol w:w="2032"/>
        <w:gridCol w:w="2033"/>
        <w:gridCol w:w="1676"/>
        <w:tblGridChange w:id="0">
          <w:tblGrid>
            <w:gridCol w:w="2139"/>
            <w:gridCol w:w="2032"/>
            <w:gridCol w:w="2033"/>
            <w:gridCol w:w="167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Isquemia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isquemia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inclinación ST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inclinación ST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1">
            <w:pPr>
              <w:spacing w:after="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rPr/>
      </w:pPr>
      <w:r w:rsidDel="00000000" w:rsidR="00000000" w:rsidRPr="00000000">
        <w:rPr>
          <w:rtl w:val="0"/>
        </w:rPr>
        <w:t xml:space="preserve">P5. Riesgo de accidente de tránsito </w:t>
      </w:r>
    </w:p>
    <w:p w:rsidR="00000000" w:rsidDel="00000000" w:rsidP="00000000" w:rsidRDefault="00000000" w:rsidRPr="00000000" w14:paraId="000000C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 SIAT de Carabineros de Chile posee una base de datos reducida (incluida en la siguiente tabla), con las variables edad del conductor y el estado del camino (Bueno / Malo) para predecir el riesgo de accidentes de tránsito. Además, entre los conductores se reconocen tres comportamientos según su rango de edad: desde adolescentes a 26 años, de 27 a 37 años, y mayores de 38 años.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Utilizando el método de árboles de decisión, determine cual atributo es más eficiente para clasificar el riesgo de accidente de tránsito.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103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2262"/>
        <w:gridCol w:w="1497"/>
        <w:tblGridChange w:id="0">
          <w:tblGrid>
            <w:gridCol w:w="1344"/>
            <w:gridCol w:w="2262"/>
            <w:gridCol w:w="14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 camino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Respuestas</w:t>
      </w:r>
    </w:p>
    <w:p w:rsidR="00000000" w:rsidDel="00000000" w:rsidP="00000000" w:rsidRDefault="00000000" w:rsidRPr="00000000" w14:paraId="000000F8">
      <w:pPr>
        <w:pStyle w:val="Subtitle"/>
        <w:rPr/>
      </w:pPr>
      <w:r w:rsidDel="00000000" w:rsidR="00000000" w:rsidRPr="00000000">
        <w:rPr>
          <w:rtl w:val="0"/>
        </w:rPr>
        <w:t xml:space="preserve">P2.</w:t>
      </w:r>
    </w:p>
    <w:p w:rsidR="00000000" w:rsidDel="00000000" w:rsidP="00000000" w:rsidRDefault="00000000" w:rsidRPr="00000000" w14:paraId="000000F9">
      <w:pPr>
        <w:tabs>
          <w:tab w:val="left" w:pos="1191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Ganancia =  Inf(C)-Inf(C/V)</w:t>
      </w:r>
    </w:p>
    <w:p w:rsidR="00000000" w:rsidDel="00000000" w:rsidP="00000000" w:rsidRDefault="00000000" w:rsidRPr="00000000" w14:paraId="000000FA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5938838</wp:posOffset>
            </wp:positionH>
            <wp:positionV relativeFrom="page">
              <wp:posOffset>3960900</wp:posOffset>
            </wp:positionV>
            <wp:extent cx="1185228" cy="725441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228" cy="725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2091372" cy="337935"/>
            <wp:effectExtent b="25400" l="25400" r="25400" t="254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54274"/>
                    <a:stretch>
                      <a:fillRect/>
                    </a:stretch>
                  </pic:blipFill>
                  <pic:spPr>
                    <a:xfrm>
                      <a:off x="0" y="0"/>
                      <a:ext cx="2091372" cy="337935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si) = 8/12 = 0,67</w:t>
      </w:r>
    </w:p>
    <w:p w:rsidR="00000000" w:rsidDel="00000000" w:rsidP="00000000" w:rsidRDefault="00000000" w:rsidRPr="00000000" w14:paraId="000000FC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no) = 4/12 = 0,33</w:t>
      </w:r>
    </w:p>
    <w:p w:rsidR="00000000" w:rsidDel="00000000" w:rsidP="00000000" w:rsidRDefault="00000000" w:rsidRPr="00000000" w14:paraId="000000FD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inf(C) = -[P(C = si) * log_2P(C= si) + P(C= no)* log_2(P(C=no))]</w:t>
      </w:r>
    </w:p>
    <w:p w:rsidR="00000000" w:rsidDel="00000000" w:rsidP="00000000" w:rsidRDefault="00000000" w:rsidRPr="00000000" w14:paraId="000000FE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inf(C) = 0,67*log_2(0,67) +0,33*log_2(0,33) </w:t>
      </w:r>
    </w:p>
    <w:p w:rsidR="00000000" w:rsidDel="00000000" w:rsidP="00000000" w:rsidRDefault="00000000" w:rsidRPr="00000000" w14:paraId="000000FF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= -(0,67 * ln (0,67)/ ln (2) + 0,33 * ln(0,33)/ln(2))</w:t>
      </w:r>
    </w:p>
    <w:p w:rsidR="00000000" w:rsidDel="00000000" w:rsidP="00000000" w:rsidRDefault="00000000" w:rsidRPr="00000000" w14:paraId="00000100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= 0.914926</w:t>
      </w:r>
    </w:p>
    <w:p w:rsidR="00000000" w:rsidDel="00000000" w:rsidP="00000000" w:rsidRDefault="00000000" w:rsidRPr="00000000" w14:paraId="00000101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2443797" cy="416627"/>
            <wp:effectExtent b="25400" l="25400" r="25400" t="254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797" cy="416627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2114550" cy="390525"/>
            <wp:effectExtent b="25400" l="25400" r="25400" t="254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0525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inf(C/ V = Salario):</w:t>
      </w:r>
    </w:p>
    <w:p w:rsidR="00000000" w:rsidDel="00000000" w:rsidP="00000000" w:rsidRDefault="00000000" w:rsidRPr="00000000" w14:paraId="00000103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P(salario = alto)* (-P(C = si / salario = Alto) * log2(P(C = si / salario = Alto )) - P(C = no / salario = Alto ) * log2(P(C = no / salario = Alto )) +</w:t>
      </w:r>
    </w:p>
    <w:p w:rsidR="00000000" w:rsidDel="00000000" w:rsidP="00000000" w:rsidRDefault="00000000" w:rsidRPr="00000000" w14:paraId="00000104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P(salario = medio) * (- P(C = si / salario = medio) * log2(P(C = si / salario = medio )) - P(C = no / salario = medio ) * log2(P(C = no / salario = medio )) +</w:t>
      </w:r>
    </w:p>
    <w:p w:rsidR="00000000" w:rsidDel="00000000" w:rsidP="00000000" w:rsidRDefault="00000000" w:rsidRPr="00000000" w14:paraId="00000105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P(salario = bajo) * (- P(C = si / salario = bajo) * log2(P(C = si / salario = bajo )) - P(C = no / salario = bajo ) * log2(P(C = no / salario = bajo )) </w:t>
      </w:r>
    </w:p>
    <w:p w:rsidR="00000000" w:rsidDel="00000000" w:rsidP="00000000" w:rsidRDefault="00000000" w:rsidRPr="00000000" w14:paraId="00000106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inf(C/ V = Hijos):</w:t>
      </w:r>
    </w:p>
    <w:p w:rsidR="00000000" w:rsidDel="00000000" w:rsidP="00000000" w:rsidRDefault="00000000" w:rsidRPr="00000000" w14:paraId="00000108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P(hijos = Si)* (-P(C = si / hijos = Si) * log2(P(C = si / hijos = Si )) - P(C = no / hijos = Si ) * log2(P(C = no / hijos = Si )) +</w:t>
      </w:r>
    </w:p>
    <w:p w:rsidR="00000000" w:rsidDel="00000000" w:rsidP="00000000" w:rsidRDefault="00000000" w:rsidRPr="00000000" w14:paraId="00000109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P(hijos = No) * (- P(C = si / hijos = No) * log2(P(C = si / hijos = No )) - P(C = no / hijos = No ) * log2(P(C = no / hijos = No )) </w:t>
      </w:r>
    </w:p>
    <w:p w:rsidR="00000000" w:rsidDel="00000000" w:rsidP="00000000" w:rsidRDefault="00000000" w:rsidRPr="00000000" w14:paraId="0000010A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Ganancia(Salario) = inf(c) - inf(C/ V = Salario)</w:t>
      </w:r>
    </w:p>
    <w:p w:rsidR="00000000" w:rsidDel="00000000" w:rsidP="00000000" w:rsidRDefault="00000000" w:rsidRPr="00000000" w14:paraId="0000010C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Ganancia(Hijos) = inf(c) - inf(C/ V = Hijos)</w:t>
      </w:r>
    </w:p>
    <w:p w:rsidR="00000000" w:rsidDel="00000000" w:rsidP="00000000" w:rsidRDefault="00000000" w:rsidRPr="00000000" w14:paraId="0000010D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Alto ) = 2/4</w:t>
        <w:tab/>
        <w:tab/>
        <w:t xml:space="preserve">P(C = no / salario = Alto ) = 2/4</w:t>
      </w:r>
    </w:p>
    <w:p w:rsidR="00000000" w:rsidDel="00000000" w:rsidP="00000000" w:rsidRDefault="00000000" w:rsidRPr="00000000" w14:paraId="00000110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Medio ) = 4/4</w:t>
        <w:tab/>
        <w:tab/>
        <w:t xml:space="preserve">P(C = no / salario = Medio ) = 0/4</w:t>
      </w:r>
    </w:p>
    <w:p w:rsidR="00000000" w:rsidDel="00000000" w:rsidP="00000000" w:rsidRDefault="00000000" w:rsidRPr="00000000" w14:paraId="00000111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Bajo ) = 2/4</w:t>
        <w:tab/>
        <w:tab/>
        <w:t xml:space="preserve">P(C = no / salario = Bajo ) = 2/4</w:t>
      </w:r>
    </w:p>
    <w:p w:rsidR="00000000" w:rsidDel="00000000" w:rsidP="00000000" w:rsidRDefault="00000000" w:rsidRPr="00000000" w14:paraId="00000112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hijos = Si ) = 3/6</w:t>
        <w:tab/>
        <w:tab/>
        <w:t xml:space="preserve">P(C = no / hijos = Si ) = 3/6</w:t>
      </w:r>
    </w:p>
    <w:p w:rsidR="00000000" w:rsidDel="00000000" w:rsidP="00000000" w:rsidRDefault="00000000" w:rsidRPr="00000000" w14:paraId="00000114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hijos = No ) = 5/6</w:t>
        <w:tab/>
        <w:tab/>
        <w:t xml:space="preserve">P(C = no / hijos = No ) = 1/6 </w:t>
        <w:br w:type="textWrapping"/>
      </w:r>
    </w:p>
    <w:p w:rsidR="00000000" w:rsidDel="00000000" w:rsidP="00000000" w:rsidRDefault="00000000" w:rsidRPr="00000000" w14:paraId="00000115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Alto ) * log_2(P(C = si / salario = Alto ) = 2/4 * log_2(2/4)</w:t>
      </w:r>
    </w:p>
    <w:p w:rsidR="00000000" w:rsidDel="00000000" w:rsidP="00000000" w:rsidRDefault="00000000" w:rsidRPr="00000000" w14:paraId="00000117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medio ) * log_2(P(C = si / salario = medio ) = 4/4 * log_2(4/4)</w:t>
      </w:r>
    </w:p>
    <w:p w:rsidR="00000000" w:rsidDel="00000000" w:rsidP="00000000" w:rsidRDefault="00000000" w:rsidRPr="00000000" w14:paraId="00000118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si / salario = bajo ) * log_2(P(C = si / salario = bajo ) = 2/4 * log_2(2/4)</w:t>
      </w:r>
    </w:p>
    <w:p w:rsidR="00000000" w:rsidDel="00000000" w:rsidP="00000000" w:rsidRDefault="00000000" w:rsidRPr="00000000" w14:paraId="00000119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no / salario = Alto ) * log_2(P(C = no / salario = Alto ) = 2/4 * log_2(2/4)</w:t>
      </w:r>
    </w:p>
    <w:p w:rsidR="00000000" w:rsidDel="00000000" w:rsidP="00000000" w:rsidRDefault="00000000" w:rsidRPr="00000000" w14:paraId="0000011B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no / salario = medio ) * log_2(P(C = no / salario = medio ) = 4/4 * log_2(4/4)</w:t>
      </w:r>
    </w:p>
    <w:p w:rsidR="00000000" w:rsidDel="00000000" w:rsidP="00000000" w:rsidRDefault="00000000" w:rsidRPr="00000000" w14:paraId="0000011C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P(C = no / salario = bajo ) * log_2(P(C = no / salario = bajo ) = 2/4 * log_2(2/4)</w:t>
      </w:r>
    </w:p>
    <w:p w:rsidR="00000000" w:rsidDel="00000000" w:rsidP="00000000" w:rsidRDefault="00000000" w:rsidRPr="00000000" w14:paraId="0000011D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86125" cy="609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Inf(s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alario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 = -(P(Salario = Alto)*log2(P(Salario = Alto)) +  P(Salario = Medio)*log2(P(Salario = Medio)) + P(Salario = Bajo)*log2(P(Salario = Bajo)) </w:t>
      </w:r>
    </w:p>
    <w:p w:rsidR="00000000" w:rsidDel="00000000" w:rsidP="00000000" w:rsidRDefault="00000000" w:rsidRPr="00000000" w14:paraId="00000121">
      <w:pPr>
        <w:tabs>
          <w:tab w:val="left" w:pos="1191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2" w:w="12242" w:orient="portrait"/>
      <w:pgMar w:bottom="1418" w:top="14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46.0" w:type="dxa"/>
      <w:jc w:val="center"/>
      <w:tblLayout w:type="fixed"/>
      <w:tblLook w:val="0000"/>
    </w:tblPr>
    <w:tblGrid>
      <w:gridCol w:w="4773"/>
      <w:gridCol w:w="4773"/>
      <w:tblGridChange w:id="0">
        <w:tblGrid>
          <w:gridCol w:w="4773"/>
          <w:gridCol w:w="477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0" w:line="288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0" w:line="288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88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850.0" w:type="dxa"/>
      <w:jc w:val="center"/>
      <w:tblLayout w:type="fixed"/>
      <w:tblLook w:val="0000"/>
    </w:tblPr>
    <w:tblGrid>
      <w:gridCol w:w="1020"/>
      <w:gridCol w:w="2429"/>
      <w:gridCol w:w="6401"/>
      <w:tblGridChange w:id="0">
        <w:tblGrid>
          <w:gridCol w:w="1020"/>
          <w:gridCol w:w="2429"/>
          <w:gridCol w:w="640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left" w:pos="2310"/>
            </w:tabs>
            <w:spacing w:after="120" w:before="0" w:line="288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7368" cy="654044"/>
                <wp:effectExtent b="0" l="0" r="0" t="0"/>
                <wp:docPr descr="D:\Usach\Logos\Logo-Monocolor-Negro.gif" id="11" name="image3.gif"/>
                <a:graphic>
                  <a:graphicData uri="http://schemas.openxmlformats.org/drawingml/2006/picture">
                    <pic:pic>
                      <pic:nvPicPr>
                        <pic:cNvPr descr="D:\Usach\Logos\Logo-Monocolor-Negro.gif" id="0" name="image3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8" cy="654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0" w:line="288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0" w:line="288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de Ingeniería Informática</w:t>
          </w:r>
        </w:p>
      </w:tc>
      <w:tc>
        <w:tcPr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0" w:line="288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INTELIGENCIA COMPUTACIONAL</w:t>
          </w:r>
        </w:p>
        <w:p w:rsidR="00000000" w:rsidDel="00000000" w:rsidP="00000000" w:rsidRDefault="00000000" w:rsidRPr="00000000" w14:paraId="000001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0" w:line="288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Guía de ejercicios Capítulo VI </w:t>
          </w:r>
        </w:p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0" w:line="288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Árboles de decisión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88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="264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before="120" w:lineRule="auto"/>
    </w:pPr>
    <w:rPr>
      <w:b w:val="1"/>
      <w:sz w:val="38"/>
      <w:szCs w:val="3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="264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before="120" w:lineRule="auto"/>
    </w:pPr>
    <w:rPr>
      <w:b w:val="1"/>
      <w:sz w:val="38"/>
      <w:szCs w:val="38"/>
    </w:rPr>
  </w:style>
  <w:style w:type="paragraph" w:styleId="Normal" w:default="1">
    <w:name w:val="Normal"/>
    <w:qFormat w:val="1"/>
    <w:rsid w:val="0007609A"/>
    <w:pPr>
      <w:spacing w:after="120" w:line="288" w:lineRule="auto"/>
      <w:jc w:val="both"/>
    </w:pPr>
    <w:rPr>
      <w:rFonts w:ascii="Arial" w:hAnsi="Arial"/>
      <w:sz w:val="22"/>
      <w:szCs w:val="24"/>
      <w:lang w:val="es-CL"/>
    </w:rPr>
  </w:style>
  <w:style w:type="paragraph" w:styleId="Ttulo1">
    <w:name w:val="heading 1"/>
    <w:basedOn w:val="Normal"/>
    <w:next w:val="Normal"/>
    <w:link w:val="Ttulo1Car"/>
    <w:qFormat w:val="1"/>
    <w:rsid w:val="00CB42EE"/>
    <w:pPr>
      <w:keepNext w:val="1"/>
      <w:spacing w:before="240" w:line="264" w:lineRule="auto"/>
      <w:jc w:val="left"/>
      <w:outlineLvl w:val="0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A366C"/>
    <w:pPr>
      <w:keepNext w:val="1"/>
      <w:keepLines w:val="1"/>
      <w:spacing w:before="120"/>
      <w:jc w:val="left"/>
      <w:outlineLvl w:val="1"/>
    </w:pPr>
    <w:rPr>
      <w:rFonts w:eastAsia="Calibri"/>
      <w:b w:val="1"/>
      <w:bCs w:val="1"/>
      <w:sz w:val="28"/>
      <w:szCs w:val="26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6845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845F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845F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DD0BD7"/>
  </w:style>
  <w:style w:type="paragraph" w:styleId="Prrafodelista1" w:customStyle="1">
    <w:name w:val="Párrafo de lista1"/>
    <w:basedOn w:val="Normal"/>
    <w:rsid w:val="00001D83"/>
    <w:pPr>
      <w:spacing w:after="200" w:line="276" w:lineRule="auto"/>
      <w:ind w:left="720"/>
      <w:contextualSpacing w:val="1"/>
    </w:pPr>
    <w:rPr>
      <w:rFonts w:ascii="Calibri" w:hAnsi="Calibri"/>
      <w:szCs w:val="22"/>
      <w:lang w:eastAsia="en-US"/>
    </w:rPr>
  </w:style>
  <w:style w:type="character" w:styleId="longtext" w:customStyle="1">
    <w:name w:val="long_text"/>
    <w:basedOn w:val="Fuentedeprrafopredeter"/>
    <w:rsid w:val="004100BC"/>
  </w:style>
  <w:style w:type="character" w:styleId="hps" w:customStyle="1">
    <w:name w:val="hps"/>
    <w:basedOn w:val="Fuentedeprrafopredeter"/>
    <w:rsid w:val="004100BC"/>
  </w:style>
  <w:style w:type="paragraph" w:styleId="Sinespaciado">
    <w:name w:val="No Spacing"/>
    <w:qFormat w:val="1"/>
    <w:rsid w:val="004100BC"/>
    <w:rPr>
      <w:rFonts w:ascii="Calibri" w:eastAsia="Calibri" w:hAnsi="Calibri"/>
      <w:sz w:val="22"/>
      <w:szCs w:val="22"/>
      <w:lang w:eastAsia="en-US" w:val="es-CL"/>
    </w:rPr>
  </w:style>
  <w:style w:type="paragraph" w:styleId="NormalWeb">
    <w:name w:val="Normal (Web)"/>
    <w:basedOn w:val="Normal"/>
    <w:semiHidden w:val="1"/>
    <w:unhideWhenUsed w:val="1"/>
    <w:rsid w:val="004100BC"/>
    <w:pPr>
      <w:spacing w:after="100" w:afterAutospacing="1" w:before="100" w:beforeAutospacing="1"/>
    </w:pPr>
    <w:rPr>
      <w:lang w:eastAsia="es-CL"/>
    </w:rPr>
  </w:style>
  <w:style w:type="character" w:styleId="Ttulo2Car" w:customStyle="1">
    <w:name w:val="Título 2 Car"/>
    <w:link w:val="Ttulo2"/>
    <w:locked w:val="1"/>
    <w:rsid w:val="00FA366C"/>
    <w:rPr>
      <w:rFonts w:ascii="Arial" w:eastAsia="Calibri" w:hAnsi="Arial"/>
      <w:b w:val="1"/>
      <w:bCs w:val="1"/>
      <w:sz w:val="28"/>
      <w:szCs w:val="26"/>
      <w:lang w:eastAsia="en-US" w:val="es-CL"/>
    </w:rPr>
  </w:style>
  <w:style w:type="character" w:styleId="Textoennegrita">
    <w:name w:val="Strong"/>
    <w:qFormat w:val="1"/>
    <w:rsid w:val="006E56F8"/>
    <w:rPr>
      <w:rFonts w:cs="Times New Roman"/>
      <w:b w:val="1"/>
      <w:bCs w:val="1"/>
    </w:rPr>
  </w:style>
  <w:style w:type="table" w:styleId="Tablaconlista3">
    <w:name w:val="Table List 3"/>
    <w:basedOn w:val="Tablanormal"/>
    <w:rsid w:val="00A70323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rsid w:val="008E044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8E0440"/>
    <w:rPr>
      <w:rFonts w:ascii="Tahoma" w:cs="Tahoma" w:hAnsi="Tahoma"/>
      <w:sz w:val="16"/>
      <w:szCs w:val="16"/>
      <w:lang w:val="es-CL"/>
    </w:rPr>
  </w:style>
  <w:style w:type="paragraph" w:styleId="Ttulo">
    <w:name w:val="Title"/>
    <w:basedOn w:val="Normal"/>
    <w:next w:val="Normal"/>
    <w:link w:val="TtuloCar"/>
    <w:qFormat w:val="1"/>
    <w:rsid w:val="00951A3C"/>
    <w:pPr>
      <w:pBdr>
        <w:bottom w:color="auto" w:space="1" w:sz="4" w:val="single"/>
      </w:pBdr>
      <w:spacing w:before="120"/>
      <w:outlineLvl w:val="0"/>
    </w:pPr>
    <w:rPr>
      <w:b w:val="1"/>
      <w:bCs w:val="1"/>
      <w:kern w:val="28"/>
      <w:sz w:val="38"/>
      <w:szCs w:val="32"/>
    </w:rPr>
  </w:style>
  <w:style w:type="character" w:styleId="TtuloCar" w:customStyle="1">
    <w:name w:val="Título Car"/>
    <w:link w:val="Ttulo"/>
    <w:rsid w:val="00951A3C"/>
    <w:rPr>
      <w:rFonts w:ascii="Arial" w:hAnsi="Arial"/>
      <w:b w:val="1"/>
      <w:bCs w:val="1"/>
      <w:kern w:val="28"/>
      <w:sz w:val="38"/>
      <w:szCs w:val="32"/>
      <w:lang w:val="es-CL"/>
    </w:rPr>
  </w:style>
  <w:style w:type="character" w:styleId="Ttulo1Car" w:customStyle="1">
    <w:name w:val="Título 1 Car"/>
    <w:link w:val="Ttulo1"/>
    <w:rsid w:val="00CB42EE"/>
    <w:rPr>
      <w:rFonts w:ascii="Arial" w:hAnsi="Arial"/>
      <w:b w:val="1"/>
      <w:bCs w:val="1"/>
      <w:kern w:val="32"/>
      <w:sz w:val="32"/>
      <w:szCs w:val="32"/>
      <w:lang w:val="es-CL"/>
    </w:rPr>
  </w:style>
  <w:style w:type="paragraph" w:styleId="Subttulo">
    <w:name w:val="Subtitle"/>
    <w:basedOn w:val="Normal"/>
    <w:next w:val="Normal"/>
    <w:link w:val="SubttuloCar"/>
    <w:qFormat w:val="1"/>
    <w:rsid w:val="00C71848"/>
    <w:pPr>
      <w:numPr>
        <w:ilvl w:val="1"/>
      </w:numPr>
      <w:spacing w:after="60" w:before="240"/>
    </w:pPr>
    <w:rPr>
      <w:rFonts w:cstheme="minorBidi" w:eastAsiaTheme="minorEastAsia"/>
      <w:b w:val="1"/>
      <w:spacing w:val="15"/>
      <w:szCs w:val="22"/>
    </w:rPr>
  </w:style>
  <w:style w:type="character" w:styleId="SubttuloCar" w:customStyle="1">
    <w:name w:val="Subtítulo Car"/>
    <w:basedOn w:val="Fuentedeprrafopredeter"/>
    <w:link w:val="Subttulo"/>
    <w:rsid w:val="00C71848"/>
    <w:rPr>
      <w:rFonts w:ascii="Arial" w:hAnsi="Arial" w:cstheme="minorBidi" w:eastAsiaTheme="minorEastAsia"/>
      <w:b w:val="1"/>
      <w:spacing w:val="15"/>
      <w:sz w:val="24"/>
      <w:szCs w:val="22"/>
      <w:lang w:val="es-CL"/>
    </w:rPr>
  </w:style>
  <w:style w:type="paragraph" w:styleId="Prrafodelista">
    <w:name w:val="List Paragraph"/>
    <w:basedOn w:val="Normal"/>
    <w:uiPriority w:val="34"/>
    <w:qFormat w:val="1"/>
    <w:rsid w:val="005153EB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before="24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7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uto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before="24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ZChogJfoXiDdb/z1iIiDGoTAA==">AMUW2mUkUlyTuNYBTkr445arfk1cBBKva6hREs2vb2+EbbN4288R3yv3Jl6jFYAtc9euYrqKWctsxCcDjMfSJ4A3lnlHOv4z0aLwloYD38B3dioBmpw0s/ghCNlMtUnnvhK3pwbck7r9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2022-03-27T22:13:00Z</dcterms:created>
  <dc:creator>Gonzalo Rojas</dc:creator>
</cp:coreProperties>
</file>