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80" w:after="220"/>
      </w:pPr>
      <w:r>
        <w:rPr>
          <w:rFonts w:ascii="Cambria" w:hAnsi="Cambria" w:cs="Cambria"/>
          <w:b/>
          <w:i w:val="0"/>
          <w:color w:val="1F3864"/>
          <w:sz w:val="28"/>
          <w:u w:val="none"/>
        </w:rPr>
        <w:t>COMUNICADO DE PENDÊNCIA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164/2026  —  09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Regularização de Obra e Habite-se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ANTONIO MARTINS NETO</w:t>
            </w: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88" w:lineRule="auto" w:before="24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 (SMOSU), por meio de seu Departamento Técnico, no uso de suas atribuições legais e após análise preliminar dos autos do Processo Administrativo em epígrafe, vem notificar o requerente acerca da constatação de inconsistências técnicas e documentais que obstam a emissão do Alvará de Regularização e da respectiva Carta de Habite-se neste momento processual.</w:t>
      </w:r>
    </w:p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C07800" w:space="0"/>
          <w:bottom w:val="single" w:sz="4" w:color="C07800" w:space="0"/>
          <w:right w:val="single" w:sz="4" w:color="C07800" w:space="0"/>
          <w:left w:val="single" w:sz="18" w:color="C07800" w:space="0"/>
        </w:tblBorders>
      </w:tblPr>
      <w:tblGrid>
        <w:gridCol w:w="10206"/>
      </w:tblGrid>
      <w:tr>
        <w:tc>
          <w:tcPr>
            <w:tcW w:type="dxa" w:w="10206"/>
            <w:shd w:fill="FFF3CD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60"/>
            </w:pPr>
            <w:r>
              <w:rPr>
                <w:rFonts w:ascii="Cambria" w:hAnsi="Cambria" w:cs="Cambria"/>
                <w:b/>
                <w:i w:val="0"/>
                <w:color w:val="7B4F00"/>
                <w:sz w:val="22"/>
                <w:u w:val="none"/>
              </w:rPr>
              <w:t>⚠  DOCUMENTOS PENDENTES — ANÁLISE SUSPENSA</w:t>
            </w:r>
          </w:p>
          <w:p>
            <w:pPr>
              <w:jc w:val="left"/>
              <w:spacing w:line="240" w:lineRule="auto" w:before="0" w:after="80"/>
            </w:pPr>
            <w:r>
              <w:rPr>
                <w:rFonts w:ascii="Calibri" w:hAnsi="Calibri" w:cs="Calibri"/>
                <w:b w:val="0"/>
                <w:i/>
                <w:color w:val="5C3A00"/>
                <w:sz w:val="20"/>
                <w:u w:val="none"/>
              </w:rPr>
              <w:t>A análise técnica não pôde ser iniciada. Os documentos abaixo são imprescindíveis e devem ser apresentados para o prosseguimento do processo: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CC4400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 xml:space="preserve">a análise preliminar da documentação revelou divergência basilar quanto à titularidade e às dimensões do lote, uma vez que a documentação registral (Matrícula nº 9.833 do SRI e respectiva escritura de compra e venda) atesta que o requerente detém a propriedade legal de apenas </w:t>
            </w:r>
            <w:r>
              <w:rPr>
                <w:rFonts w:ascii="Calibri" w:hAnsi="Calibri" w:cs="Calibri"/>
                <w:b/>
                <w:i w:val="0"/>
                <w:color w:val="3C2800"/>
                <w:sz w:val="20"/>
                <w:u w:val="none"/>
              </w:rPr>
              <w:t>240,00m²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 xml:space="preserve"> (duzentos e quarenta metros quadrados) da área do lote de </w:t>
            </w:r>
            <w:r>
              <w:rPr>
                <w:rFonts w:ascii="Calibri" w:hAnsi="Calibri" w:cs="Calibri"/>
                <w:b/>
                <w:i w:val="0"/>
                <w:color w:val="3C2800"/>
                <w:sz w:val="20"/>
                <w:u w:val="none"/>
              </w:rPr>
              <w:t>360,00m²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>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CC4400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 xml:space="preserve">o Parecer Fiscal emitido pelo Setor de Fiscalização identificou a existência de 04 (quatro) unidades habitacionais consolidadas na edificação de </w:t>
            </w:r>
            <w:r>
              <w:rPr>
                <w:rFonts w:ascii="Calibri" w:hAnsi="Calibri" w:cs="Calibri"/>
                <w:b/>
                <w:i w:val="0"/>
                <w:color w:val="3C2800"/>
                <w:sz w:val="20"/>
                <w:u w:val="none"/>
              </w:rPr>
              <w:t>283,38m²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>, fazendo-se imperiosa a correção do Projeto Arquitetônico (As Built) para que haja a devida discretização das áreas de cada imóvel, o que viabilizará a correta atribuição das numerações oficiais (107, 109, 111 e 113);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CC4400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>verificou-se que o selo (carimbo) do projeto apresentado encontra-se desatualizado ou preenchido de forma irregular, devendo ser integralmente corrigido e compatibilizado com os dados reais do imóvel e do profissional responsável;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CC4400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>as multas decorrentes da ausência de licença prévia (</w:t>
            </w:r>
            <w:r>
              <w:rPr>
                <w:rFonts w:ascii="Calibri" w:hAnsi="Calibri" w:cs="Calibri"/>
                <w:b w:val="0"/>
                <w:i/>
                <w:color w:val="3C2800"/>
                <w:sz w:val="20"/>
                <w:u w:val="none"/>
              </w:rPr>
              <w:t>Art. 79 da Lei nº 1.544/86</w:t>
            </w:r>
            <w:r>
              <w:rPr>
                <w:rFonts w:ascii="Calibri" w:hAnsi="Calibri" w:cs="Calibri"/>
                <w:b w:val="0"/>
                <w:i w:val="0"/>
                <w:color w:val="3C2800"/>
                <w:sz w:val="20"/>
                <w:u w:val="none"/>
              </w:rPr>
              <w:t>) e eventuais quebras de parâmetros urbanísticos serão apuradas, calculadas e lançadas oportunamente, logo após a juntada do projeto retificado aos autos.</w:t>
            </w:r>
          </w:p>
        </w:tc>
      </w:tr>
    </w:tbl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4" w:color="2E7D32" w:space="0"/>
          <w:bottom w:val="single" w:sz="4" w:color="2E7D32" w:space="0"/>
          <w:right w:val="single" w:sz="4" w:color="2E7D32" w:space="0"/>
          <w:left w:val="single" w:sz="18" w:color="2E7D32" w:space="0"/>
        </w:tblBorders>
      </w:tblPr>
      <w:tblGrid>
        <w:gridCol w:w="10206"/>
      </w:tblGrid>
      <w:tr>
        <w:tc>
          <w:tcPr>
            <w:tcW w:type="dxa" w:w="10206"/>
            <w:shd w:fill="EBF5EB" w:val="clear"/>
            <w:tcMar>
              <w:top w:w="100" w:type="dxa"/>
              <w:bottom w:w="100" w:type="dxa"/>
              <w:start w:w="150" w:type="dxa"/>
              <w:end w:w="100" w:type="dxa"/>
            </w:tcMar>
          </w:tcPr>
          <w:p>
            <w:pPr>
              <w:jc w:val="left"/>
              <w:spacing w:line="260" w:lineRule="auto" w:before="60" w:after="40"/>
            </w:pPr>
            <w:r>
              <w:rPr>
                <w:rFonts w:ascii="Cambria" w:hAnsi="Cambria" w:cs="Cambria"/>
                <w:b/>
                <w:i w:val="0"/>
                <w:color w:val="1B5E20"/>
                <w:sz w:val="22"/>
                <w:u w:val="none"/>
              </w:rPr>
              <w:t>✔  COMO REGULARIZAR E RETOMAR O PROCESSO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1B5E20"/>
                <w:sz w:val="20"/>
                <w:u w:val="none"/>
              </w:rPr>
              <w:t xml:space="preserve">  1.  </w:t>
            </w:r>
            <w:r>
              <w:rPr>
                <w:rFonts w:ascii="Calibri" w:hAnsi="Calibri" w:cs="Calibri"/>
                <w:b w:val="0"/>
                <w:i w:val="0"/>
                <w:color w:val="1A371A"/>
                <w:sz w:val="20"/>
                <w:u w:val="none"/>
              </w:rPr>
              <w:t>Reúna todos os documentos listados acima em sua versão original ou digitalizada com legibilidade plena.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1B5E20"/>
                <w:sz w:val="20"/>
                <w:u w:val="none"/>
              </w:rPr>
              <w:t xml:space="preserve">  2.  </w:t>
            </w:r>
            <w:r>
              <w:rPr>
                <w:rFonts w:ascii="Calibri" w:hAnsi="Calibri" w:cs="Calibri"/>
                <w:b w:val="0"/>
                <w:i w:val="0"/>
                <w:color w:val="1A371A"/>
                <w:sz w:val="20"/>
                <w:u w:val="none"/>
              </w:rPr>
              <w:t>Dirija-se ao balcão do protocolo da Prefeitura Municipal de Oliveira ou acesse o portal digital (Atende.Net) para acostar os documentos ao processo.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1B5E20"/>
                <w:sz w:val="20"/>
                <w:u w:val="none"/>
              </w:rPr>
              <w:t xml:space="preserve">  3.  </w:t>
            </w:r>
            <w:r>
              <w:rPr>
                <w:rFonts w:ascii="Calibri" w:hAnsi="Calibri" w:cs="Calibri"/>
                <w:b w:val="0"/>
                <w:i w:val="0"/>
                <w:color w:val="1A371A"/>
                <w:sz w:val="20"/>
                <w:u w:val="none"/>
              </w:rPr>
              <w:t>Após o recebimento e verificação documental, a análise técnica será reiniciada automaticamente, sem necessidade de novo requerimento.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1B5E20"/>
                <w:sz w:val="20"/>
                <w:u w:val="none"/>
              </w:rPr>
              <w:t xml:space="preserve">  4.  </w:t>
            </w:r>
            <w:r>
              <w:rPr>
                <w:rFonts w:ascii="Calibri" w:hAnsi="Calibri" w:cs="Calibri"/>
                <w:b w:val="0"/>
                <w:i w:val="0"/>
                <w:color w:val="1A371A"/>
                <w:sz w:val="20"/>
                <w:u w:val="none"/>
              </w:rPr>
              <w:t>Em caso de dúvidas, entre em contato com o Setor Técnico da SMOSU (Secretaria Municipal de Obras e Serviços Urbanos).</w:t>
            </w:r>
          </w:p>
        </w:tc>
      </w:tr>
    </w:tbl>
    <w:p>
      <w:pPr>
        <w:spacing w:line="120" w:lineRule="auto" w:before="0" w:after="0"/>
      </w:pPr>
    </w:p>
    <w:p>
      <w:pPr>
        <w:ind w:firstLine="709"/>
        <w:jc w:val="both"/>
        <w:spacing w:line="288" w:lineRule="auto" w:before="120" w:after="12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determino o SOBRESTAMENTO do presente processo administrativo. A continuidade da análise e a emissão dos documentos de regularidade ficam CONDICIONADAS à correção do projeto arquitetônico e ao saneamento das pendências supracitadas. O requerente deverá anexar ao processo digital o arquivo em PDF do novo projeto retificado. Os documentos físicos eventualmente extraídos para correção deverão ser devolvidos.</w:t>
      </w:r>
    </w:p>
    <w:p>
      <w:pPr>
        <w:jc w:val="center"/>
        <w:keepNext/>
        <w:spacing w:line="288" w:lineRule="auto" w:before="200" w:after="0"/>
      </w:pPr>
      <w:r>
        <w:rPr>
          <w:rFonts w:ascii="Calibri" w:hAnsi="Calibri" w:cs="Calibri"/>
          <w:b/>
          <w:i w:val="0"/>
          <w:sz w:val="22"/>
          <w:u w:val="none"/>
        </w:rPr>
        <w:t>Oliveira, 21 de abril de 2026.</w:t>
      </w:r>
    </w:p>
    <w:p>
      <w:pPr>
        <w:keepNext/>
        <w:spacing w:line="288" w:lineRule="auto" w:before="0" w:after="0"/>
      </w:pPr>
    </w:p>
    <w:p>
      <w:pPr>
        <w:keepNext/>
        <w:spacing w:line="288" w:lineRule="auto" w:before="0" w:after="0"/>
      </w:pPr>
    </w:p>
    <w:p>
      <w:pPr>
        <w:jc w:val="center"/>
        <w:keepNext/>
        <w:spacing w:line="240" w:lineRule="auto" w:before="0" w:after="40"/>
      </w:pPr>
      <w:r>
        <w:rPr>
          <w:rFonts w:ascii="Calibri" w:hAnsi="Calibri" w:cs="Calibri"/>
          <w:b w:val="0"/>
          <w:i w:val="0"/>
          <w:color w:val="999999"/>
          <w:sz w:val="20"/>
          <w:u w:val="none"/>
        </w:rPr>
        <w:t>_____________________________________________</w:t>
      </w:r>
    </w:p>
    <w:p>
      <w:pPr>
        <w:jc w:val="center"/>
        <w:keepNext/>
        <w:spacing w:line="288" w:lineRule="auto" w:before="0" w:after="0"/>
      </w:pPr>
      <w:r>
        <w:rPr>
          <w:rFonts w:ascii="Calibri" w:hAnsi="Calibri" w:cs="Calibri"/>
          <w:b/>
          <w:i w:val="0"/>
          <w:sz w:val="22"/>
          <w:u w:val="none"/>
        </w:rPr>
        <w:t>Diego Tarcísio Nunes Vilela</w:t>
      </w:r>
    </w:p>
    <w:p>
      <w:pPr>
        <w:jc w:val="center"/>
        <w:keepNext/>
        <w:spacing w:line="288" w:lineRule="auto" w:before="0" w:after="0"/>
      </w:pPr>
      <w:r>
        <w:rPr>
          <w:rFonts w:ascii="Calibri" w:hAnsi="Calibri" w:cs="Calibri"/>
          <w:b w:val="0"/>
          <w:i w:val="0"/>
          <w:sz w:val="22"/>
          <w:u w:val="none"/>
        </w:rPr>
        <w:t>Engenheiro Civil</w:t>
      </w:r>
    </w:p>
    <w:p>
      <w:pPr>
        <w:jc w:val="center"/>
        <w:spacing w:line="288" w:lineRule="auto" w:before="0" w:after="0"/>
      </w:pPr>
      <w:r>
        <w:rPr>
          <w:rFonts w:ascii="Calibri" w:hAnsi="Calibri" w:cs="Calibri"/>
          <w:b w:val="0"/>
          <w:i w:val="0"/>
          <w:sz w:val="22"/>
          <w:u w:val="none"/>
        </w:rPr>
        <w:t>CREA 235.474/D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spacing w:line="240" w:lineRule="auto" w:before="0" w:after="0"/>
    </w:pPr>
    <w:r>
      <w:rPr>
        <w:rFonts w:ascii="Calibri" w:hAnsi="Calibri" w:cs="Calibri"/>
        <w:b w:val="0"/>
        <w:i w:val="0"/>
        <w:color w:val="666666"/>
        <w:sz w:val="16"/>
        <w:u w:val="none"/>
      </w:rPr>
      <w:t xml:space="preserve">Página </w:t>
    </w:r>
    <w:r>
      <w:rPr>
        <w:rFonts w:ascii="Calibri" w:hAnsi="Calibri" w:cs="Calibri"/>
        <w:b w:val="0"/>
        <w:i w:val="0"/>
        <w:color w:val="666666"/>
        <w:sz w:val="16"/>
        <w:u w:val="none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cs="Calibri"/>
        <w:b w:val="0"/>
        <w:i w:val="0"/>
        <w:color w:val="666666"/>
        <w:sz w:val="16"/>
        <w:u w:val="none"/>
      </w:rPr>
      <w:t xml:space="preserve"> de </w:t>
    </w:r>
    <w:r>
      <w:rPr>
        <w:rFonts w:ascii="Calibri" w:hAnsi="Calibri" w:cs="Calibri"/>
        <w:b w:val="0"/>
        <w:i w:val="0"/>
        <w:color w:val="666666"/>
        <w:sz w:val="16"/>
        <w:u w:val="none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320" w:lineRule="auto" w:before="0" w:after="30"/>
          </w:pPr>
          <w:r>
            <w:rPr>
              <w:rFonts w:ascii="Cambria" w:hAnsi="Cambria" w:cs="Cambria"/>
              <w:b/>
              <w:i w:val="0"/>
              <w:color w:val="1F3864"/>
              <w:sz w:val="30"/>
              <w:u w:val="none"/>
            </w:rPr>
            <w:t>PREFEITURA MUNICIPAL DE OLIVEIRA</w:t>
          </w:r>
        </w:p>
        <w:p>
          <w:pPr>
            <w:jc w:val="left"/>
            <w:spacing w:line="300" w:lineRule="auto" w:before="0" w:after="30"/>
          </w:pPr>
          <w:r>
            <w:rPr>
              <w:rFonts w:ascii="Cambria" w:hAnsi="Cambria" w:cs="Cambria"/>
              <w:b/>
              <w:i w:val="0"/>
              <w:color w:val="1F3864"/>
              <w:sz w:val="18"/>
              <w:u w:val="none"/>
            </w:rPr>
            <w:t>Secretaria Municipal de Obras e Serviços Urbanos</w:t>
          </w:r>
        </w:p>
        <w:p>
          <w:pPr>
            <w:jc w:val="left"/>
            <w:spacing w:line="260" w:lineRule="auto" w:before="0" w:after="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30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