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88" w:lineRule="auto" w:before="280" w:after="220"/>
      </w:pPr>
      <w:r>
        <w:rPr>
          <w:rFonts w:ascii="Cambria" w:hAnsi="Cambria" w:cs="Cambria"/>
          <w:b/>
          <w:i w:val="0"/>
          <w:color w:val="1F3864"/>
          <w:sz w:val="28"/>
          <w:u w:val="none"/>
        </w:rPr>
        <w:t>PARECER SETOR TÉCNICO - SMOSU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0C0C0"/>
          <w:left w:val="single" w:sz="4" w:color="C0C0C0"/>
          <w:bottom w:val="single" w:sz="4" w:color="C0C0C0"/>
          <w:right w:val="single" w:sz="4" w:color="C0C0C0"/>
          <w:insideH w:val="single" w:sz="4" w:color="C0C0C0"/>
          <w:insideV w:val="single" w:sz="4" w:color="C0C0C0"/>
        </w:tblBorders>
      </w:tblPr>
      <w:tblGrid>
        <w:gridCol w:w="5103"/>
        <w:gridCol w:w="5103"/>
      </w:tblGrid>
      <w:tr>
        <w:tc>
          <w:tcPr>
            <w:tcW w:type="dxa" w:w="2268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268" w:type="dxa"/>
          </w:tcPr>
          <w:p>
            <w:pPr>
              <w:jc w:val="left"/>
              <w:spacing w:line="280" w:lineRule="auto" w:before="70" w:after="70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Processo nº</w:t>
            </w:r>
          </w:p>
        </w:tc>
        <w:tc>
          <w:tcPr>
            <w:tcW w:type="dxa" w:w="7938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7938" w:type="dxa"/>
          </w:tcPr>
          <w:p>
            <w:pPr>
              <w:jc w:val="left"/>
              <w:spacing w:line="280" w:lineRule="auto" w:before="70" w:after="70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164/2026  —  09 de janeiro de 2026</w:t>
            </w:r>
          </w:p>
        </w:tc>
      </w:tr>
      <w:tr>
        <w:tc>
          <w:tcPr>
            <w:tcW w:type="dxa" w:w="2268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268" w:type="dxa"/>
          </w:tcPr>
          <w:p>
            <w:pPr>
              <w:jc w:val="left"/>
              <w:spacing w:line="280" w:lineRule="auto" w:before="70" w:after="70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Assunto</w:t>
            </w:r>
          </w:p>
        </w:tc>
        <w:tc>
          <w:tcPr>
            <w:tcW w:type="dxa" w:w="7938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7938" w:type="dxa"/>
          </w:tcPr>
          <w:p>
            <w:pPr>
              <w:jc w:val="left"/>
              <w:spacing w:line="280" w:lineRule="auto" w:before="70" w:after="70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Regularização de Edificação 'As Built' com Declaração de Decadência Parcial</w:t>
            </w:r>
          </w:p>
        </w:tc>
      </w:tr>
      <w:tr>
        <w:tc>
          <w:tcPr>
            <w:tcW w:type="dxa" w:w="2268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268" w:type="dxa"/>
          </w:tcPr>
          <w:p>
            <w:pPr>
              <w:jc w:val="left"/>
              <w:spacing w:line="280" w:lineRule="auto" w:before="70" w:after="70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Requerente</w:t>
            </w:r>
          </w:p>
        </w:tc>
        <w:tc>
          <w:tcPr>
            <w:tcW w:type="dxa" w:w="7938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7938" w:type="dxa"/>
          </w:tcPr>
          <w:p>
            <w:pPr>
              <w:jc w:val="left"/>
              <w:spacing w:line="280" w:lineRule="auto" w:before="70" w:after="70"/>
            </w:pPr>
            <w:r>
              <w:rPr>
                <w:rFonts w:ascii="Calibri" w:hAnsi="Calibri" w:cs="Calibri"/>
                <w:b/>
                <w:i w:val="0"/>
                <w:sz w:val="18"/>
                <w:u w:val="none"/>
              </w:rPr>
              <w:t>Antônio Martins Neto</w:t>
            </w:r>
          </w:p>
        </w:tc>
      </w:tr>
    </w:tbl>
    <w:p>
      <w:pPr>
        <w:spacing w:line="60" w:lineRule="auto" w:before="80" w:after="60"/>
        <w:pBdr>
          <w:bottom w:val="single" w:sz="4" w:color="1F3864"/>
        </w:pBdr>
      </w:pPr>
    </w:p>
    <w:p>
      <w:pPr>
        <w:jc w:val="left"/>
        <w:spacing w:line="240" w:lineRule="auto" w:before="280" w:after="60"/>
      </w:pPr>
      <w:r>
        <w:rPr>
          <w:rFonts w:ascii="Calibri" w:hAnsi="Calibri" w:cs="Calibri"/>
          <w:b/>
          <w:i w:val="0"/>
          <w:color w:val="1F3864"/>
          <w:sz w:val="18"/>
          <w:u w:val="none"/>
        </w:rPr>
        <w:t>DADOS TÉCNICOS DO PROJETO (Ref. Decreto nº 4.149/2019)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0C0C0"/>
          <w:left w:val="single" w:sz="4" w:color="C0C0C0"/>
          <w:bottom w:val="single" w:sz="4" w:color="C0C0C0"/>
          <w:right w:val="single" w:sz="4" w:color="C0C0C0"/>
          <w:insideH w:val="single" w:sz="4" w:color="C0C0C0"/>
          <w:insideV w:val="single" w:sz="4" w:color="C0C0C0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Endereço:</w:t>
            </w:r>
          </w:p>
        </w:tc>
        <w:tc>
          <w:tcPr>
            <w:tcW w:type="dxa" w:w="35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35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Rua Doutor Odorico Ribeiro, nº 107 - Acácio Ribeiro</w:t>
            </w:r>
          </w:p>
        </w:tc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Inscrição Mun.:</w:t>
            </w:r>
          </w:p>
        </w:tc>
        <w:tc>
          <w:tcPr>
            <w:tcW w:type="dxa" w:w="27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27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sz w:val="18"/>
                <w:u w:val="none"/>
              </w:rPr>
              <w:t>01.01.045.0067.001</w:t>
            </w:r>
          </w:p>
        </w:tc>
      </w:tr>
      <w:tr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Proprietário:</w:t>
            </w:r>
          </w:p>
        </w:tc>
        <w:tc>
          <w:tcPr>
            <w:tcW w:type="dxa" w:w="35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35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sz w:val="18"/>
                <w:u w:val="none"/>
              </w:rPr>
              <w:t>Antônio Martins Neto</w:t>
            </w:r>
          </w:p>
        </w:tc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Desenhista:</w:t>
            </w:r>
          </w:p>
        </w:tc>
        <w:tc>
          <w:tcPr>
            <w:tcW w:type="dxa" w:w="27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2700" w:type="dxa"/>
          </w:tcPr>
          <w:p>
            <w:pPr>
              <w:jc w:val="left"/>
              <w:spacing w:line="220" w:lineRule="auto" w:before="25" w:after="25"/>
            </w:pPr>
          </w:p>
        </w:tc>
      </w:tr>
      <w:tr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Lote:</w:t>
            </w:r>
          </w:p>
        </w:tc>
        <w:tc>
          <w:tcPr>
            <w:tcW w:type="dxa" w:w="35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35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17</w:t>
            </w:r>
          </w:p>
        </w:tc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Quadra:</w:t>
            </w:r>
          </w:p>
        </w:tc>
        <w:tc>
          <w:tcPr>
            <w:tcW w:type="dxa" w:w="27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27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 w:val="0"/>
                <w:i w:val="0"/>
                <w:sz w:val="18"/>
                <w:u w:val="none"/>
              </w:rPr>
              <w:t>06</w:t>
            </w:r>
          </w:p>
        </w:tc>
      </w:tr>
      <w:tr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Área Terreno:</w:t>
            </w:r>
          </w:p>
        </w:tc>
        <w:tc>
          <w:tcPr>
            <w:tcW w:type="dxa" w:w="35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35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sz w:val="18"/>
                <w:u w:val="none"/>
              </w:rPr>
              <w:t>240,00m²</w:t>
            </w:r>
          </w:p>
        </w:tc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Área Total:</w:t>
            </w:r>
          </w:p>
        </w:tc>
        <w:tc>
          <w:tcPr>
            <w:tcW w:type="dxa" w:w="27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27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sz w:val="18"/>
                <w:u w:val="none"/>
              </w:rPr>
              <w:t>283,38m²</w:t>
            </w:r>
          </w:p>
        </w:tc>
      </w:tr>
      <w:tr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Taxa Ocupação:</w:t>
            </w:r>
          </w:p>
        </w:tc>
        <w:tc>
          <w:tcPr>
            <w:tcW w:type="dxa" w:w="35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35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CC0000"/>
                <w:sz w:val="18"/>
                <w:u w:val="none"/>
              </w:rPr>
              <w:t>118,08%</w:t>
            </w:r>
            <w:r>
              <w:rPr>
                <w:rFonts w:ascii="Calibri" w:hAnsi="Calibri" w:cs="Calibri"/>
                <w:b/>
                <w:i/>
                <w:color w:val="CC0000"/>
                <w:sz w:val="14"/>
                <w:u w:val="none"/>
              </w:rPr>
              <w:t xml:space="preserve">  (conferir zoneamento)</w:t>
            </w:r>
          </w:p>
        </w:tc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Coef. Aprov.:</w:t>
            </w:r>
          </w:p>
        </w:tc>
        <w:tc>
          <w:tcPr>
            <w:tcW w:type="dxa" w:w="27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27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sz w:val="18"/>
                <w:u w:val="none"/>
              </w:rPr>
              <w:t>1,18</w:t>
            </w:r>
          </w:p>
        </w:tc>
      </w:tr>
      <w:tr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Permeabilidade:</w:t>
            </w:r>
          </w:p>
        </w:tc>
        <w:tc>
          <w:tcPr>
            <w:tcW w:type="dxa" w:w="35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35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CC0000"/>
                <w:sz w:val="18"/>
                <w:u w:val="none"/>
              </w:rPr>
              <w:t>0,00%</w:t>
            </w:r>
            <w:r>
              <w:rPr>
                <w:rFonts w:ascii="Calibri" w:hAnsi="Calibri" w:cs="Calibri"/>
                <w:b/>
                <w:i/>
                <w:color w:val="CC0000"/>
                <w:sz w:val="14"/>
                <w:u w:val="none"/>
              </w:rPr>
              <w:t xml:space="preserve">  (conferir zoneamento)</w:t>
            </w:r>
          </w:p>
        </w:tc>
        <w:tc>
          <w:tcPr>
            <w:tcW w:type="dxa" w:w="20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shd w:val="clear" w:color="auto" w:fill="D6DCE4"/>
            <w:tcW w:w="2000" w:type="dxa"/>
          </w:tcPr>
          <w:p>
            <w:pPr>
              <w:jc w:val="righ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color w:val="1F3864"/>
                <w:sz w:val="18"/>
                <w:u w:val="none"/>
              </w:rPr>
              <w:t>Resp. Técnico:</w:t>
            </w:r>
          </w:p>
        </w:tc>
        <w:tc>
          <w:tcPr>
            <w:tcW w:type="dxa" w:w="2700"/>
            <w:vAlign w:val="center"/>
            <w:tcMar>
              <w:top w:w="30" w:type="dxa"/>
              <w:bottom w:w="30" w:type="dxa"/>
              <w:start w:w="80" w:type="dxa"/>
              <w:end w:w="60" w:type="dxa"/>
            </w:tcMar>
            <w:tcW w:w="2700" w:type="dxa"/>
          </w:tcPr>
          <w:p>
            <w:pPr>
              <w:jc w:val="left"/>
              <w:spacing w:line="220" w:lineRule="auto" w:before="25" w:after="25"/>
            </w:pPr>
            <w:r>
              <w:rPr>
                <w:rFonts w:ascii="Calibri" w:hAnsi="Calibri" w:cs="Calibri"/>
                <w:b/>
                <w:i w:val="0"/>
                <w:sz w:val="18"/>
                <w:u w:val="none"/>
              </w:rPr>
              <w:t>Samuel Dias</w:t>
            </w:r>
          </w:p>
        </w:tc>
      </w:tr>
    </w:tbl>
    <w:p>
      <w:pPr>
        <w:spacing w:line="60" w:lineRule="auto" w:before="80" w:after="60"/>
        <w:pBdr>
          <w:bottom w:val="single" w:sz="4" w:color="1F3864"/>
        </w:pBdr>
      </w:pPr>
    </w:p>
    <w:p>
      <w:pPr>
        <w:ind w:firstLine="709"/>
        <w:jc w:val="both"/>
        <w:spacing w:line="288" w:lineRule="auto" w:before="300" w:after="120"/>
      </w:pPr>
      <w:r>
        <w:rPr>
          <w:rFonts w:ascii="Calibri" w:hAnsi="Calibri" w:cs="Calibri"/>
          <w:b w:val="0"/>
          <w:i w:val="0"/>
          <w:sz w:val="22"/>
          <w:u w:val="none"/>
        </w:rPr>
        <w:t xml:space="preserve">A Secretaria Municipal de Obras e Serviços Urbanos (SMOSU), por intermédio de seu Departamento Técnico, apresenta a análise de viabilidade para o Processo Administrativo nº </w:t>
      </w:r>
      <w:r>
        <w:rPr>
          <w:rFonts w:ascii="Calibri" w:hAnsi="Calibri" w:cs="Calibri"/>
          <w:b/>
          <w:i w:val="0"/>
          <w:sz w:val="22"/>
          <w:u w:val="none"/>
        </w:rPr>
        <w:t>164/2026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, no qual o requerente </w:t>
      </w:r>
      <w:r>
        <w:rPr>
          <w:rFonts w:ascii="Calibri" w:hAnsi="Calibri" w:cs="Calibri"/>
          <w:b/>
          <w:i w:val="0"/>
          <w:sz w:val="22"/>
          <w:u w:val="none"/>
        </w:rPr>
        <w:t>Antônio Martins Neto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postula a regularização em modalidade 'As Built' de uma edificação de uso residencial multifamiliar, totalizando </w:t>
      </w:r>
      <w:r>
        <w:rPr>
          <w:rFonts w:ascii="Calibri" w:hAnsi="Calibri" w:cs="Calibri"/>
          <w:b/>
          <w:i w:val="0"/>
          <w:sz w:val="22"/>
          <w:u w:val="none"/>
        </w:rPr>
        <w:t>283,38m²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de área construída. O imóvel encontra-se assentado sobre uma fração ideal de </w:t>
      </w:r>
      <w:r>
        <w:rPr>
          <w:rFonts w:ascii="Calibri" w:hAnsi="Calibri" w:cs="Calibri"/>
          <w:b/>
          <w:i w:val="0"/>
          <w:sz w:val="22"/>
          <w:u w:val="none"/>
        </w:rPr>
        <w:t>240,00m²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– desmembrada de um lote originário de 360,00m² –, situado no zoneamento </w:t>
      </w:r>
      <w:r>
        <w:rPr>
          <w:rFonts w:ascii="Calibri" w:hAnsi="Calibri" w:cs="Calibri"/>
          <w:b/>
          <w:i w:val="0"/>
          <w:sz w:val="22"/>
          <w:u w:val="none"/>
        </w:rPr>
        <w:t>ZUR 03</w:t>
      </w:r>
      <w:r>
        <w:rPr>
          <w:rFonts w:ascii="Calibri" w:hAnsi="Calibri" w:cs="Calibri"/>
          <w:b w:val="0"/>
          <w:i w:val="0"/>
          <w:sz w:val="22"/>
          <w:u w:val="none"/>
        </w:rPr>
        <w:t>, sob a jurisdição fiscal e urbana do município de Oliveira/MG.</w:t>
      </w:r>
    </w:p>
    <w:p>
      <w:pPr>
        <w:ind w:firstLine="709"/>
        <w:jc w:val="both"/>
        <w:spacing w:line="288" w:lineRule="auto" w:before="0" w:after="120"/>
      </w:pPr>
      <w:r>
        <w:rPr>
          <w:rFonts w:ascii="Calibri" w:hAnsi="Calibri" w:cs="Calibri"/>
          <w:b/>
          <w:i w:val="0"/>
          <w:sz w:val="22"/>
          <w:u w:val="none"/>
        </w:rPr>
        <w:t xml:space="preserve">Considerando que 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A análise da cadeia sucessória e titularidade atestada pela </w:t>
      </w:r>
      <w:r>
        <w:rPr>
          <w:rFonts w:ascii="Calibri" w:hAnsi="Calibri" w:cs="Calibri"/>
          <w:b/>
          <w:i w:val="0"/>
          <w:sz w:val="22"/>
          <w:u w:val="none"/>
        </w:rPr>
        <w:t>Matrícula de Inteiro Teor nº 9833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(Serviço de Registro de Imóveis local) e Inscrição Cadastral nº </w:t>
      </w:r>
      <w:r>
        <w:rPr>
          <w:rFonts w:ascii="Calibri" w:hAnsi="Calibri" w:cs="Calibri"/>
          <w:b/>
          <w:i w:val="0"/>
          <w:sz w:val="22"/>
          <w:u w:val="none"/>
        </w:rPr>
        <w:t>01.01.045.0067.001</w:t>
      </w:r>
      <w:r>
        <w:rPr>
          <w:rFonts w:ascii="Calibri" w:hAnsi="Calibri" w:cs="Calibri"/>
          <w:b w:val="0"/>
          <w:i w:val="0"/>
          <w:sz w:val="22"/>
          <w:u w:val="none"/>
        </w:rPr>
        <w:t>, comprovando o pleno domínio do requerente sobre a fração ideal delimitada do Lote 17, Quadra 06;</w:t>
      </w:r>
    </w:p>
    <w:p>
      <w:pPr>
        <w:ind w:firstLine="709"/>
        <w:jc w:val="both"/>
        <w:spacing w:line="288" w:lineRule="auto" w:before="0" w:after="120"/>
      </w:pPr>
      <w:r>
        <w:rPr>
          <w:rFonts w:ascii="Calibri" w:hAnsi="Calibri" w:cs="Calibri"/>
          <w:b/>
          <w:i w:val="0"/>
          <w:sz w:val="22"/>
          <w:u w:val="none"/>
        </w:rPr>
        <w:t xml:space="preserve">Considerando que 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O Laudo Técnico de Estabilidade Estrutural e Funcional, devidamente instruído com o projeto arquitetônico levantado (As Built), sob a responsabilidade técnica do Engenheiro Civil </w:t>
      </w:r>
      <w:r>
        <w:rPr>
          <w:rFonts w:ascii="Calibri" w:hAnsi="Calibri" w:cs="Calibri"/>
          <w:b/>
          <w:i w:val="0"/>
          <w:sz w:val="22"/>
          <w:u w:val="none"/>
        </w:rPr>
        <w:t>Samuel Dias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(CREA-MG </w:t>
      </w:r>
      <w:r>
        <w:rPr>
          <w:rFonts w:ascii="Calibri" w:hAnsi="Calibri" w:cs="Calibri"/>
          <w:b/>
          <w:i w:val="0"/>
          <w:sz w:val="22"/>
          <w:u w:val="none"/>
        </w:rPr>
        <w:t>201.767/D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), com a respectiva ART de nº </w:t>
      </w:r>
      <w:r>
        <w:rPr>
          <w:rFonts w:ascii="Calibri" w:hAnsi="Calibri" w:cs="Calibri"/>
          <w:b/>
          <w:i w:val="0"/>
          <w:sz w:val="22"/>
          <w:u w:val="none"/>
        </w:rPr>
        <w:t>MG20254540522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registrada e baixada, garantindo que as fundações e estruturas da obra possuem segurança plena e vida útil resguardada;</w:t>
      </w:r>
    </w:p>
    <w:p>
      <w:pPr>
        <w:ind w:firstLine="709"/>
        <w:jc w:val="both"/>
        <w:spacing w:line="288" w:lineRule="auto" w:before="0" w:after="120"/>
      </w:pPr>
      <w:r>
        <w:rPr>
          <w:rFonts w:ascii="Calibri" w:hAnsi="Calibri" w:cs="Calibri"/>
          <w:b/>
          <w:i w:val="0"/>
          <w:sz w:val="22"/>
          <w:u w:val="none"/>
        </w:rPr>
        <w:t xml:space="preserve">Considerando que 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A diligência técnica *in loco* materializada no Parecer Fiscal (Data: </w:t>
      </w:r>
      <w:r>
        <w:rPr>
          <w:rFonts w:ascii="Calibri" w:hAnsi="Calibri" w:cs="Calibri"/>
          <w:b/>
          <w:i w:val="0"/>
          <w:sz w:val="22"/>
          <w:u w:val="none"/>
        </w:rPr>
        <w:t>09/03/2026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), subscrito pelos fiscais </w:t>
      </w:r>
      <w:r>
        <w:rPr>
          <w:rFonts w:ascii="Calibri" w:hAnsi="Calibri" w:cs="Calibri"/>
          <w:b/>
          <w:i w:val="0"/>
          <w:sz w:val="22"/>
          <w:u w:val="none"/>
        </w:rPr>
        <w:t>Marlei Henrique de Oliveira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e </w:t>
      </w:r>
      <w:r>
        <w:rPr>
          <w:rFonts w:ascii="Calibri" w:hAnsi="Calibri" w:cs="Calibri"/>
          <w:b/>
          <w:i w:val="0"/>
          <w:sz w:val="22"/>
          <w:u w:val="none"/>
        </w:rPr>
        <w:t>Wallace Alencar Martins Silveira</w:t>
      </w:r>
      <w:r>
        <w:rPr>
          <w:rFonts w:ascii="Calibri" w:hAnsi="Calibri" w:cs="Calibri"/>
          <w:b w:val="0"/>
          <w:i w:val="0"/>
          <w:sz w:val="22"/>
          <w:u w:val="none"/>
        </w:rPr>
        <w:t>, o qual ratifica que o complexo residencial encontra-se fisicamente consolidado, plenamente habitável, dotado de instalações hidrossanitárias adequadas e refletindo estritamente as cotas apresentadas nas pranchas;</w:t>
      </w:r>
    </w:p>
    <w:p>
      <w:pPr>
        <w:ind w:firstLine="709"/>
        <w:jc w:val="both"/>
        <w:spacing w:line="288" w:lineRule="auto" w:before="0" w:after="120"/>
      </w:pPr>
      <w:r>
        <w:rPr>
          <w:rFonts w:ascii="Calibri" w:hAnsi="Calibri" w:cs="Calibri"/>
          <w:b/>
          <w:i w:val="0"/>
          <w:sz w:val="22"/>
          <w:u w:val="none"/>
        </w:rPr>
        <w:t xml:space="preserve">Considerando que 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A consulta ao acervo cartográfico da Prefeitura Municipal, especificamente a </w:t>
      </w:r>
      <w:r>
        <w:rPr>
          <w:rFonts w:ascii="Calibri" w:hAnsi="Calibri" w:cs="Calibri"/>
          <w:b/>
          <w:i w:val="0"/>
          <w:sz w:val="22"/>
          <w:u w:val="none"/>
        </w:rPr>
        <w:t>Planta Cadastral datada de 13/11/2012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, que configura prova irrefutável da preexistência de um volume edificado de </w:t>
      </w:r>
      <w:r>
        <w:rPr>
          <w:rFonts w:ascii="Calibri" w:hAnsi="Calibri" w:cs="Calibri"/>
          <w:b/>
          <w:i w:val="0"/>
          <w:sz w:val="22"/>
          <w:u w:val="none"/>
        </w:rPr>
        <w:t>163,72m²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naquele marco temporal histórico, consolidando o fato gerador pretérito;</w:t>
      </w:r>
    </w:p>
    <w:p>
      <w:pPr>
        <w:ind w:firstLine="709"/>
        <w:jc w:val="both"/>
        <w:spacing w:line="288" w:lineRule="auto" w:before="0" w:after="120"/>
      </w:pPr>
      <w:r>
        <w:rPr>
          <w:rFonts w:ascii="Calibri" w:hAnsi="Calibri" w:cs="Calibri"/>
          <w:b/>
          <w:i w:val="0"/>
          <w:sz w:val="22"/>
          <w:u w:val="none"/>
        </w:rPr>
        <w:t xml:space="preserve">Considerando que 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A superação dos índices urbanísticos vigentes para a </w:t>
      </w:r>
      <w:r>
        <w:rPr>
          <w:rFonts w:ascii="Calibri" w:hAnsi="Calibri" w:cs="Calibri"/>
          <w:b/>
          <w:i w:val="0"/>
          <w:sz w:val="22"/>
          <w:u w:val="none"/>
        </w:rPr>
        <w:t>ZUR 03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(Taxa de Ocupação de 118,08% e Permeabilidade nula), cuja excepcionalidade se fundamenta no caráter de regularização de obra antiga consolidada, amparada pelos mecanismos compensatórios e pecuniários previstos na legislação moderna.</w:t>
      </w:r>
    </w:p>
    <w:p>
      <w:pPr>
        <w:ind w:firstLine="709"/>
        <w:jc w:val="both"/>
        <w:spacing w:line="288" w:lineRule="auto" w:before="0" w:after="120"/>
      </w:pPr>
      <w:r>
        <w:rPr>
          <w:rFonts w:ascii="Calibri" w:hAnsi="Calibri" w:cs="Calibri"/>
          <w:b w:val="0"/>
          <w:i w:val="0"/>
          <w:sz w:val="22"/>
          <w:u w:val="none"/>
        </w:rPr>
        <w:t xml:space="preserve">Em análise à preexistência da edificação, o instituto da </w:t>
      </w:r>
      <w:r>
        <w:rPr>
          <w:rFonts w:ascii="Calibri" w:hAnsi="Calibri" w:cs="Calibri"/>
          <w:b/>
          <w:i w:val="0"/>
          <w:sz w:val="22"/>
          <w:u w:val="none"/>
        </w:rPr>
        <w:t>Decadência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deve ser aplicado. Conforme consolidado na jurisprudência administrativa e no Código Tributário do Município, o ente público perde o direito de lançar e cobrar tributos e taxas referentes ao ato construtivo (como o ISS-Construção Civil e penalidades de obra irregular) sobre fatos geradores ocorridos há mais de 5 (cinco) anos. Portanto, atesta-se a decadência integral sobre a parcela de </w:t>
      </w:r>
      <w:r>
        <w:rPr>
          <w:rFonts w:ascii="Calibri" w:hAnsi="Calibri" w:cs="Calibri"/>
          <w:b/>
          <w:i w:val="0"/>
          <w:sz w:val="22"/>
          <w:u w:val="none"/>
        </w:rPr>
        <w:t>163,72m²</w:t>
      </w:r>
      <w:r>
        <w:rPr>
          <w:rFonts w:ascii="Calibri" w:hAnsi="Calibri" w:cs="Calibri"/>
          <w:b w:val="0"/>
          <w:i w:val="0"/>
          <w:sz w:val="22"/>
          <w:u w:val="none"/>
        </w:rPr>
        <w:t>.</w:t>
      </w:r>
    </w:p>
    <w:p>
      <w:pPr>
        <w:ind w:firstLine="709"/>
        <w:jc w:val="both"/>
        <w:spacing w:line="288" w:lineRule="auto" w:before="0" w:after="120"/>
      </w:pPr>
      <w:r>
        <w:rPr>
          <w:rFonts w:ascii="Calibri" w:hAnsi="Calibri" w:cs="Calibri"/>
          <w:b w:val="0"/>
          <w:i w:val="0"/>
          <w:sz w:val="22"/>
          <w:u w:val="none"/>
        </w:rPr>
        <w:t xml:space="preserve">Em contrapartida, a fração restante de </w:t>
      </w:r>
      <w:r>
        <w:rPr>
          <w:rFonts w:ascii="Calibri" w:hAnsi="Calibri" w:cs="Calibri"/>
          <w:b/>
          <w:i w:val="0"/>
          <w:sz w:val="22"/>
          <w:u w:val="none"/>
        </w:rPr>
        <w:t>119,66m²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(resultante da subtração da área total atual de 283,38m² pela área consolidada de 163,72m²) caracteriza-se como ampliação não averbada executada no quinquênio recente, recaindo sobre esta os devidos lançamentos de taxas de regularização e compensação financeira pelo excedente construtivo.</w:t>
      </w:r>
    </w:p>
    <w:p>
      <w:pPr>
        <w:ind w:firstLine="709"/>
        <w:jc w:val="both"/>
        <w:spacing w:line="288" w:lineRule="auto" w:before="200" w:after="80"/>
      </w:pPr>
      <w:r>
        <w:rPr>
          <w:rFonts w:ascii="Calibri" w:hAnsi="Calibri" w:cs="Calibri"/>
          <w:b/>
          <w:i w:val="0"/>
          <w:color w:val="1F3864"/>
          <w:sz w:val="22"/>
          <w:u w:val="none"/>
        </w:rPr>
        <w:t>Da Análise Legal e Técnica:</w:t>
      </w:r>
    </w:p>
    <w:p>
      <w:pPr>
        <w:ind w:firstLine="709"/>
        <w:jc w:val="both"/>
        <w:spacing w:line="288" w:lineRule="auto" w:before="0" w:after="120"/>
      </w:pPr>
      <w:r>
        <w:rPr>
          <w:rFonts w:ascii="Calibri" w:hAnsi="Calibri" w:cs="Calibri"/>
          <w:b w:val="0"/>
          <w:i w:val="0"/>
          <w:sz w:val="22"/>
          <w:u w:val="none"/>
        </w:rPr>
        <w:t xml:space="preserve">• </w:t>
      </w:r>
      <w:r>
        <w:rPr>
          <w:rFonts w:ascii="Calibri" w:hAnsi="Calibri" w:cs="Calibri"/>
          <w:b w:val="0"/>
          <w:i/>
          <w:sz w:val="22"/>
          <w:u w:val="none"/>
        </w:rPr>
        <w:t>Decreto Municipal nº 4.149 de 19/12/2019</w:t>
      </w:r>
      <w:r>
        <w:rPr>
          <w:rFonts w:ascii="Calibri" w:hAnsi="Calibri" w:cs="Calibri"/>
          <w:b w:val="0"/>
          <w:i w:val="0"/>
          <w:sz w:val="22"/>
          <w:u w:val="none"/>
        </w:rPr>
        <w:t>, que disciplina os procedimentos e fluxos para a regularização imobiliária 'As Built' no município de Oliveira;</w:t>
      </w:r>
    </w:p>
    <w:p>
      <w:pPr>
        <w:ind w:firstLine="709"/>
        <w:jc w:val="both"/>
        <w:spacing w:line="288" w:lineRule="auto" w:before="0" w:after="120"/>
      </w:pPr>
      <w:r>
        <w:rPr>
          <w:rFonts w:ascii="Calibri" w:hAnsi="Calibri" w:cs="Calibri"/>
          <w:b w:val="0"/>
          <w:i w:val="0"/>
          <w:sz w:val="22"/>
          <w:u w:val="none"/>
        </w:rPr>
        <w:t xml:space="preserve">• </w:t>
      </w:r>
      <w:r>
        <w:rPr>
          <w:rFonts w:ascii="Calibri" w:hAnsi="Calibri" w:cs="Calibri"/>
          <w:b w:val="0"/>
          <w:i/>
          <w:sz w:val="22"/>
          <w:u w:val="none"/>
        </w:rPr>
        <w:t>Lei nº 1.544, de 04 de março de 1986 (Código de Obras)</w:t>
      </w:r>
      <w:r>
        <w:rPr>
          <w:rFonts w:ascii="Calibri" w:hAnsi="Calibri" w:cs="Calibri"/>
          <w:b w:val="0"/>
          <w:i w:val="0"/>
          <w:sz w:val="22"/>
          <w:u w:val="none"/>
        </w:rPr>
        <w:t>, especificamente o Art. 79, que faculta ao poder público a aceitação de obras concluídas à revelia da prévia aprovação, desde que atestadas a segurança e a salubridade;</w:t>
      </w:r>
    </w:p>
    <w:p>
      <w:pPr>
        <w:ind w:firstLine="709"/>
        <w:jc w:val="both"/>
        <w:spacing w:line="288" w:lineRule="auto" w:before="0" w:after="120"/>
      </w:pPr>
      <w:r>
        <w:rPr>
          <w:rFonts w:ascii="Calibri" w:hAnsi="Calibri" w:cs="Calibri"/>
          <w:b w:val="0"/>
          <w:i w:val="0"/>
          <w:sz w:val="22"/>
          <w:u w:val="none"/>
        </w:rPr>
        <w:t xml:space="preserve">• </w:t>
      </w:r>
      <w:r>
        <w:rPr>
          <w:rFonts w:ascii="Calibri" w:hAnsi="Calibri" w:cs="Calibri"/>
          <w:b w:val="0"/>
          <w:i/>
          <w:sz w:val="22"/>
          <w:u w:val="none"/>
        </w:rPr>
        <w:t>Lei Complementar nº 267 de 11/11/2019 (Plano Diretor e Uso do Solo)</w:t>
      </w:r>
      <w:r>
        <w:rPr>
          <w:rFonts w:ascii="Calibri" w:hAnsi="Calibri" w:cs="Calibri"/>
          <w:b w:val="0"/>
          <w:i w:val="0"/>
          <w:sz w:val="22"/>
          <w:u w:val="none"/>
        </w:rPr>
        <w:t>, em seus Arts. 38 e 39, que estabelecem as diretrizes e contrapartidas pecuniárias (fundo urbano) para edificações que ultrapassam as balizas de ocupação e recuos da macrozona.</w:t>
      </w:r>
    </w:p>
    <w:p>
      <w:pPr>
        <w:ind w:firstLine="709"/>
        <w:jc w:val="both"/>
        <w:spacing w:line="288" w:lineRule="auto" w:before="200" w:after="40"/>
      </w:pPr>
      <w:r>
        <w:rPr>
          <w:rFonts w:ascii="Cambria" w:hAnsi="Cambria" w:cs="Cambria"/>
          <w:b/>
          <w:i w:val="0"/>
          <w:color w:val="1F3864"/>
          <w:sz w:val="24"/>
          <w:u w:val="none"/>
        </w:rPr>
        <w:t>Emissão de Documentos:</w:t>
      </w:r>
    </w:p>
    <w:p>
      <w:pPr>
        <w:ind w:firstLine="709"/>
        <w:jc w:val="both"/>
        <w:spacing w:line="288" w:lineRule="auto" w:before="0" w:after="120"/>
      </w:pPr>
      <w:r>
        <w:rPr>
          <w:rFonts w:ascii="Calibri" w:hAnsi="Calibri" w:cs="Calibri"/>
          <w:b w:val="0"/>
          <w:i w:val="0"/>
          <w:sz w:val="22"/>
          <w:u w:val="none"/>
        </w:rPr>
        <w:t xml:space="preserve">Sob os prismas da estrita legalidade e da razoabilidade técnica, conclui-se que a obra atende aos requisitos mínimos de estabilidade, higiene e inserção urbana exigidos pelo município. As pendências atinentes à comprovação dominial da fração ideal de 240,00m² foram sanadas satisfatoriamente. Sendo assim, profiro </w:t>
      </w:r>
      <w:r>
        <w:rPr>
          <w:rFonts w:ascii="Calibri" w:hAnsi="Calibri" w:cs="Calibri"/>
          <w:b/>
          <w:i w:val="0"/>
          <w:sz w:val="22"/>
          <w:u w:val="none"/>
        </w:rPr>
        <w:t>PARECER FAVORÁVEL</w:t>
      </w:r>
      <w:r>
        <w:rPr>
          <w:rFonts w:ascii="Calibri" w:hAnsi="Calibri" w:cs="Calibri"/>
          <w:b w:val="0"/>
          <w:i w:val="0"/>
          <w:sz w:val="22"/>
          <w:u w:val="none"/>
        </w:rPr>
        <w:t xml:space="preserve"> à regularização integral do imóvel, devendo-se processar a liquidação do passivo tributário restrito à área ampliada recente. Remetam-se os autos aos setores competentes para o recolhimento das guias e a subsequente emissão dos respectivos despachos de conformidade.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6DCE4" w:space="0"/>
          <w:bottom w:val="single" w:sz="4" w:color="D6DCE4" w:space="0"/>
          <w:right w:val="single" w:sz="4" w:color="D6DCE4" w:space="0"/>
          <w:left w:val="single" w:sz="18" w:color="1F3864" w:space="0"/>
        </w:tblBorders>
      </w:tblPr>
      <w:tblGrid>
        <w:gridCol w:w="10206"/>
      </w:tblGrid>
      <w:tr>
        <w:tc>
          <w:tcPr>
            <w:tcW w:type="dxa" w:w="10206"/>
            <w:shd w:fill="F8F9FA" w:val="clear"/>
          </w:tcPr>
          <w:p>
            <w:pPr>
              <w:jc w:val="both"/>
              <w:spacing w:line="288" w:lineRule="auto" w:before="40" w:after="20"/>
            </w:pPr>
            <w:r>
              <w:rPr>
                <w:rFonts w:ascii="Calibri" w:hAnsi="Calibri" w:cs="Calibri"/>
                <w:b/>
                <w:i w:val="0"/>
                <w:sz w:val="22"/>
                <w:u w:val="none"/>
              </w:rPr>
              <w:t>Alvará de Regularização de Imóvel</w:t>
            </w:r>
          </w:p>
          <w:p>
            <w:pPr>
              <w:jc w:val="both"/>
              <w:spacing w:line="280" w:lineRule="auto" w:before="0" w:after="40"/>
            </w:pPr>
            <w:r>
              <w:rPr>
                <w:rFonts w:ascii="Calibri" w:hAnsi="Calibri" w:cs="Calibri"/>
                <w:b w:val="0"/>
                <w:i w:val="0"/>
                <w:color w:val="444444"/>
                <w:sz w:val="20"/>
                <w:u w:val="none"/>
              </w:rPr>
              <w:t xml:space="preserve">Alvará autorizativo cobrindo a área total de </w:t>
            </w:r>
            <w:r>
              <w:rPr>
                <w:rFonts w:ascii="Calibri" w:hAnsi="Calibri" w:cs="Calibri"/>
                <w:b/>
                <w:i w:val="0"/>
                <w:color w:val="444444"/>
                <w:sz w:val="20"/>
                <w:u w:val="none"/>
              </w:rPr>
              <w:t>283,38m²</w:t>
            </w:r>
            <w:r>
              <w:rPr>
                <w:rFonts w:ascii="Calibri" w:hAnsi="Calibri" w:cs="Calibri"/>
                <w:b w:val="0"/>
                <w:i w:val="0"/>
                <w:color w:val="444444"/>
                <w:sz w:val="20"/>
                <w:u w:val="none"/>
              </w:rPr>
              <w:t xml:space="preserve">. Fazer constar no campo 'Observações do Alvará' a excepcionalidade prevista no </w:t>
            </w:r>
            <w:r>
              <w:rPr>
                <w:rFonts w:ascii="Calibri" w:hAnsi="Calibri" w:cs="Calibri"/>
                <w:b w:val="0"/>
                <w:i/>
                <w:color w:val="444444"/>
                <w:sz w:val="20"/>
                <w:u w:val="none"/>
              </w:rPr>
              <w:t>Art. 79 da Lei 1.544/86</w:t>
            </w:r>
            <w:r>
              <w:rPr>
                <w:rFonts w:ascii="Calibri" w:hAnsi="Calibri" w:cs="Calibri"/>
                <w:b w:val="0"/>
                <w:i w:val="0"/>
                <w:color w:val="444444"/>
                <w:sz w:val="20"/>
                <w:u w:val="none"/>
              </w:rPr>
              <w:t>, ressalvando que a regularização atesta o estado de fato, mas não exime futuras manutenções estruturais a cargo do proprietário.</w:t>
            </w:r>
          </w:p>
        </w:tc>
      </w:tr>
    </w:tbl>
    <w:p>
      <w:pPr>
        <w:spacing w:line="80" w:lineRule="auto" w:before="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6DCE4" w:space="0"/>
          <w:bottom w:val="single" w:sz="4" w:color="D6DCE4" w:space="0"/>
          <w:right w:val="single" w:sz="4" w:color="D6DCE4" w:space="0"/>
          <w:left w:val="single" w:sz="18" w:color="1F3864" w:space="0"/>
        </w:tblBorders>
      </w:tblPr>
      <w:tblGrid>
        <w:gridCol w:w="10206"/>
      </w:tblGrid>
      <w:tr>
        <w:tc>
          <w:tcPr>
            <w:tcW w:type="dxa" w:w="10206"/>
            <w:shd w:fill="F8F9FA" w:val="clear"/>
          </w:tcPr>
          <w:p>
            <w:pPr>
              <w:jc w:val="both"/>
              <w:spacing w:line="288" w:lineRule="auto" w:before="40" w:after="20"/>
            </w:pPr>
            <w:r>
              <w:rPr>
                <w:rFonts w:ascii="Calibri" w:hAnsi="Calibri" w:cs="Calibri"/>
                <w:b/>
                <w:i w:val="0"/>
                <w:sz w:val="22"/>
                <w:u w:val="none"/>
              </w:rPr>
              <w:t>Certidão de Decadência Técnica</w:t>
            </w:r>
          </w:p>
          <w:p>
            <w:pPr>
              <w:jc w:val="both"/>
              <w:spacing w:line="280" w:lineRule="auto" w:before="0" w:after="40"/>
            </w:pPr>
            <w:r>
              <w:rPr>
                <w:rFonts w:ascii="Calibri" w:hAnsi="Calibri" w:cs="Calibri"/>
                <w:b w:val="0"/>
                <w:i w:val="0"/>
                <w:color w:val="444444"/>
                <w:sz w:val="20"/>
                <w:u w:val="none"/>
              </w:rPr>
              <w:t xml:space="preserve">Emissão de documento certificatório declarando o transcurso do lapso temporal quinquenal sobre a área base de </w:t>
            </w:r>
            <w:r>
              <w:rPr>
                <w:rFonts w:ascii="Calibri" w:hAnsi="Calibri" w:cs="Calibri"/>
                <w:b/>
                <w:i w:val="0"/>
                <w:color w:val="444444"/>
                <w:sz w:val="20"/>
                <w:u w:val="none"/>
              </w:rPr>
              <w:t>163,72m²</w:t>
            </w:r>
            <w:r>
              <w:rPr>
                <w:rFonts w:ascii="Calibri" w:hAnsi="Calibri" w:cs="Calibri"/>
                <w:b w:val="0"/>
                <w:i w:val="0"/>
                <w:color w:val="444444"/>
                <w:sz w:val="20"/>
                <w:u w:val="none"/>
              </w:rPr>
              <w:t xml:space="preserve">, conforme atestado pelo mosaico cadastral de </w:t>
            </w:r>
            <w:r>
              <w:rPr>
                <w:rFonts w:ascii="Calibri" w:hAnsi="Calibri" w:cs="Calibri"/>
                <w:b/>
                <w:i w:val="0"/>
                <w:color w:val="444444"/>
                <w:sz w:val="20"/>
                <w:u w:val="none"/>
              </w:rPr>
              <w:t>13/11/2012</w:t>
            </w:r>
            <w:r>
              <w:rPr>
                <w:rFonts w:ascii="Calibri" w:hAnsi="Calibri" w:cs="Calibri"/>
                <w:b w:val="0"/>
                <w:i w:val="0"/>
                <w:color w:val="444444"/>
                <w:sz w:val="20"/>
                <w:u w:val="none"/>
              </w:rPr>
              <w:t>, isentando-a de tributação compensatória.</w:t>
            </w:r>
          </w:p>
        </w:tc>
      </w:tr>
    </w:tbl>
    <w:p>
      <w:pPr>
        <w:spacing w:line="80" w:lineRule="auto" w:before="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6DCE4" w:space="0"/>
          <w:bottom w:val="single" w:sz="4" w:color="D6DCE4" w:space="0"/>
          <w:right w:val="single" w:sz="4" w:color="D6DCE4" w:space="0"/>
          <w:left w:val="single" w:sz="18" w:color="1F3864" w:space="0"/>
        </w:tblBorders>
      </w:tblPr>
      <w:tblGrid>
        <w:gridCol w:w="10206"/>
      </w:tblGrid>
      <w:tr>
        <w:tc>
          <w:tcPr>
            <w:tcW w:type="dxa" w:w="10206"/>
            <w:shd w:fill="F8F9FA" w:val="clear"/>
          </w:tcPr>
          <w:p>
            <w:pPr>
              <w:jc w:val="both"/>
              <w:spacing w:line="288" w:lineRule="auto" w:before="40" w:after="20"/>
            </w:pPr>
            <w:r>
              <w:rPr>
                <w:rFonts w:ascii="Calibri" w:hAnsi="Calibri" w:cs="Calibri"/>
                <w:b/>
                <w:i w:val="0"/>
                <w:sz w:val="22"/>
                <w:u w:val="none"/>
              </w:rPr>
              <w:t>Carta de Habite-se (Multifamiliar)</w:t>
            </w:r>
          </w:p>
          <w:p>
            <w:pPr>
              <w:jc w:val="both"/>
              <w:spacing w:line="280" w:lineRule="auto" w:before="0" w:after="40"/>
            </w:pPr>
            <w:r>
              <w:rPr>
                <w:rFonts w:ascii="Calibri" w:hAnsi="Calibri" w:cs="Calibri"/>
                <w:b w:val="0"/>
                <w:i w:val="0"/>
                <w:color w:val="444444"/>
                <w:sz w:val="20"/>
                <w:u w:val="none"/>
              </w:rPr>
              <w:t xml:space="preserve">Expedição atestando a habitabilidade e conclusão global da edificação de </w:t>
            </w:r>
            <w:r>
              <w:rPr>
                <w:rFonts w:ascii="Calibri" w:hAnsi="Calibri" w:cs="Calibri"/>
                <w:b/>
                <w:i w:val="0"/>
                <w:color w:val="444444"/>
                <w:sz w:val="20"/>
                <w:u w:val="none"/>
              </w:rPr>
              <w:t>283,38m²</w:t>
            </w:r>
            <w:r>
              <w:rPr>
                <w:rFonts w:ascii="Calibri" w:hAnsi="Calibri" w:cs="Calibri"/>
                <w:b w:val="0"/>
                <w:i w:val="0"/>
                <w:color w:val="444444"/>
                <w:sz w:val="20"/>
                <w:u w:val="none"/>
              </w:rPr>
              <w:t>, permitindo ao requerente efetuar a ligação definitiva das concessionárias (água, luz e esgoto).</w:t>
            </w:r>
          </w:p>
        </w:tc>
      </w:tr>
    </w:tbl>
    <w:p>
      <w:pPr>
        <w:spacing w:line="80" w:lineRule="auto" w:before="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6DCE4" w:space="0"/>
          <w:bottom w:val="single" w:sz="4" w:color="D6DCE4" w:space="0"/>
          <w:right w:val="single" w:sz="4" w:color="D6DCE4" w:space="0"/>
          <w:left w:val="single" w:sz="18" w:color="1F3864" w:space="0"/>
        </w:tblBorders>
      </w:tblPr>
      <w:tblGrid>
        <w:gridCol w:w="10206"/>
      </w:tblGrid>
      <w:tr>
        <w:tc>
          <w:tcPr>
            <w:tcW w:type="dxa" w:w="10206"/>
            <w:shd w:fill="F8F9FA" w:val="clear"/>
          </w:tcPr>
          <w:p>
            <w:pPr>
              <w:jc w:val="both"/>
              <w:spacing w:line="288" w:lineRule="auto" w:before="40" w:after="20"/>
            </w:pPr>
            <w:r>
              <w:rPr>
                <w:rFonts w:ascii="Calibri" w:hAnsi="Calibri" w:cs="Calibri"/>
                <w:b/>
                <w:i w:val="0"/>
                <w:sz w:val="22"/>
                <w:u w:val="none"/>
              </w:rPr>
              <w:t>Certidão de Averbação</w:t>
            </w:r>
          </w:p>
          <w:p>
            <w:pPr>
              <w:jc w:val="both"/>
              <w:spacing w:line="280" w:lineRule="auto" w:before="0" w:after="40"/>
            </w:pPr>
            <w:r>
              <w:rPr>
                <w:rFonts w:ascii="Calibri" w:hAnsi="Calibri" w:cs="Calibri"/>
                <w:b w:val="0"/>
                <w:i w:val="0"/>
                <w:color w:val="444444"/>
                <w:sz w:val="20"/>
                <w:u w:val="none"/>
              </w:rPr>
              <w:t xml:space="preserve">Instrumento final destinado ao Serviço de Registro de Imóveis (SRI), atestando que a edificação atual de </w:t>
            </w:r>
            <w:r>
              <w:rPr>
                <w:rFonts w:ascii="Calibri" w:hAnsi="Calibri" w:cs="Calibri"/>
                <w:b/>
                <w:i w:val="0"/>
                <w:color w:val="444444"/>
                <w:sz w:val="20"/>
                <w:u w:val="none"/>
              </w:rPr>
              <w:t>283,38m²</w:t>
            </w:r>
            <w:r>
              <w:rPr>
                <w:rFonts w:ascii="Calibri" w:hAnsi="Calibri" w:cs="Calibri"/>
                <w:b w:val="0"/>
                <w:i w:val="0"/>
                <w:color w:val="444444"/>
                <w:sz w:val="20"/>
                <w:u w:val="none"/>
              </w:rPr>
              <w:t xml:space="preserve"> encontra-se regular perante a Municipalidade de Oliveira para averbação na Matrícula </w:t>
            </w:r>
            <w:r>
              <w:rPr>
                <w:rFonts w:ascii="Calibri" w:hAnsi="Calibri" w:cs="Calibri"/>
                <w:b/>
                <w:i w:val="0"/>
                <w:color w:val="444444"/>
                <w:sz w:val="20"/>
                <w:u w:val="none"/>
              </w:rPr>
              <w:t>9833</w:t>
            </w:r>
            <w:r>
              <w:rPr>
                <w:rFonts w:ascii="Calibri" w:hAnsi="Calibri" w:cs="Calibri"/>
                <w:b w:val="0"/>
                <w:i w:val="0"/>
                <w:color w:val="444444"/>
                <w:sz w:val="20"/>
                <w:u w:val="none"/>
              </w:rPr>
              <w:t>.</w:t>
            </w:r>
          </w:p>
        </w:tc>
      </w:tr>
    </w:tbl>
    <w:p>
      <w:pPr>
        <w:spacing w:line="80" w:lineRule="auto" w:before="0" w:after="0"/>
      </w:pPr>
    </w:p>
    <w:p>
      <w:pPr>
        <w:jc w:val="center"/>
        <w:keepNext/>
        <w:spacing w:line="288" w:lineRule="auto" w:before="200" w:after="0"/>
      </w:pPr>
      <w:r>
        <w:rPr>
          <w:rFonts w:ascii="Calibri" w:hAnsi="Calibri" w:cs="Calibri"/>
          <w:b/>
          <w:i w:val="0"/>
          <w:sz w:val="22"/>
          <w:u w:val="none"/>
        </w:rPr>
        <w:t>Oliveira, 21 de abril de 2026.</w:t>
      </w:r>
    </w:p>
    <w:p>
      <w:pPr>
        <w:keepNext/>
        <w:spacing w:line="288" w:lineRule="auto" w:before="0" w:after="0"/>
      </w:pPr>
    </w:p>
    <w:p>
      <w:pPr>
        <w:keepNext/>
        <w:spacing w:line="288" w:lineRule="auto" w:before="0" w:after="0"/>
      </w:pPr>
    </w:p>
    <w:p>
      <w:pPr>
        <w:jc w:val="center"/>
        <w:keepNext/>
        <w:spacing w:line="240" w:lineRule="auto" w:before="0" w:after="40"/>
      </w:pPr>
      <w:r>
        <w:rPr>
          <w:rFonts w:ascii="Calibri" w:hAnsi="Calibri" w:cs="Calibri"/>
          <w:b w:val="0"/>
          <w:i w:val="0"/>
          <w:color w:val="999999"/>
          <w:sz w:val="20"/>
          <w:u w:val="none"/>
        </w:rPr>
        <w:t>_____________________________________________</w:t>
      </w:r>
    </w:p>
    <w:p>
      <w:pPr>
        <w:jc w:val="center"/>
        <w:keepNext/>
        <w:spacing w:line="288" w:lineRule="auto" w:before="0" w:after="0"/>
      </w:pPr>
      <w:r>
        <w:rPr>
          <w:rFonts w:ascii="Calibri" w:hAnsi="Calibri" w:cs="Calibri"/>
          <w:b/>
          <w:i w:val="0"/>
          <w:sz w:val="22"/>
          <w:u w:val="none"/>
        </w:rPr>
        <w:t>Diego Tarcísio Nunes Vilela</w:t>
      </w:r>
    </w:p>
    <w:p>
      <w:pPr>
        <w:jc w:val="center"/>
        <w:keepNext/>
        <w:spacing w:line="288" w:lineRule="auto" w:before="0" w:after="0"/>
      </w:pPr>
      <w:r>
        <w:rPr>
          <w:rFonts w:ascii="Calibri" w:hAnsi="Calibri" w:cs="Calibri"/>
          <w:b w:val="0"/>
          <w:i w:val="0"/>
          <w:sz w:val="22"/>
          <w:u w:val="none"/>
        </w:rPr>
        <w:t>Engenheiro Civil</w:t>
      </w:r>
    </w:p>
    <w:p>
      <w:pPr>
        <w:jc w:val="center"/>
        <w:spacing w:line="288" w:lineRule="auto" w:before="0" w:after="0"/>
      </w:pPr>
      <w:r>
        <w:rPr>
          <w:rFonts w:ascii="Calibri" w:hAnsi="Calibri" w:cs="Calibri"/>
          <w:b w:val="0"/>
          <w:i w:val="0"/>
          <w:sz w:val="22"/>
          <w:u w:val="none"/>
        </w:rPr>
        <w:t>CREA 235.474/D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spacing w:line="240" w:lineRule="auto" w:before="0" w:after="0"/>
    </w:pPr>
    <w:r>
      <w:rPr>
        <w:rFonts w:ascii="Calibri" w:hAnsi="Calibri" w:cs="Calibri"/>
        <w:b w:val="0"/>
        <w:i w:val="0"/>
        <w:color w:val="666666"/>
        <w:sz w:val="16"/>
        <w:u w:val="none"/>
      </w:rPr>
      <w:t xml:space="preserve">Página </w:t>
    </w:r>
    <w:r>
      <w:rPr>
        <w:rFonts w:ascii="Calibri" w:hAnsi="Calibri" w:cs="Calibri"/>
        <w:b w:val="0"/>
        <w:i w:val="0"/>
        <w:color w:val="666666"/>
        <w:sz w:val="16"/>
        <w:u w:val="none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 w:cs="Calibri"/>
        <w:b w:val="0"/>
        <w:i w:val="0"/>
        <w:color w:val="666666"/>
        <w:sz w:val="16"/>
        <w:u w:val="none"/>
      </w:rPr>
      <w:t xml:space="preserve"> de </w:t>
    </w:r>
    <w:r>
      <w:rPr>
        <w:rFonts w:ascii="Calibri" w:hAnsi="Calibri" w:cs="Calibri"/>
        <w:b w:val="0"/>
        <w:i w:val="0"/>
        <w:color w:val="666666"/>
        <w:sz w:val="16"/>
        <w:u w:val="none"/>
      </w:rPr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100"/>
      <w:gridCol w:w="5100"/>
    </w:tblGrid>
    <w:tr>
      <w:trPr>
        <w:trHeight w:val="1200"/>
      </w:trPr>
      <w:tc>
        <w:tcPr>
          <w:tcW w:type="dxa" w:w="2400"/>
          <w:vAlign w:val="center"/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pPr>
            <w:jc w:val="left"/>
            <w:spacing w:line="240" w:lineRule="auto" w:before="0" w:after="0"/>
          </w:pPr>
          <w:r>
            <w:drawing>
              <wp:inline xmlns:a="http://schemas.openxmlformats.org/drawingml/2006/main" xmlns:pic="http://schemas.openxmlformats.org/drawingml/2006/picture">
                <wp:extent cx="1188000" cy="47273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prefeitur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000" cy="47273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800"/>
          <w:vAlign w:val="center"/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pPr>
            <w:jc w:val="left"/>
            <w:spacing w:line="320" w:lineRule="auto" w:before="0" w:after="30"/>
          </w:pPr>
          <w:r>
            <w:rPr>
              <w:rFonts w:ascii="Cambria" w:hAnsi="Cambria" w:cs="Cambria"/>
              <w:b/>
              <w:i w:val="0"/>
              <w:color w:val="1F3864"/>
              <w:sz w:val="30"/>
              <w:u w:val="none"/>
            </w:rPr>
            <w:t>PREFEITURA MUNICIPAL DE OLIVEIRA</w:t>
          </w:r>
        </w:p>
        <w:p>
          <w:pPr>
            <w:jc w:val="left"/>
            <w:spacing w:line="300" w:lineRule="auto" w:before="0" w:after="30"/>
          </w:pPr>
          <w:r>
            <w:rPr>
              <w:rFonts w:ascii="Cambria" w:hAnsi="Cambria" w:cs="Cambria"/>
              <w:b/>
              <w:i w:val="0"/>
              <w:color w:val="1F3864"/>
              <w:sz w:val="18"/>
              <w:u w:val="none"/>
            </w:rPr>
            <w:t>Secretaria Municipal de Obras e Serviços Urbanos</w:t>
          </w:r>
        </w:p>
        <w:p>
          <w:pPr>
            <w:jc w:val="left"/>
            <w:spacing w:line="260" w:lineRule="auto" w:before="0" w:after="0"/>
          </w:pPr>
          <w:r>
            <w:rPr>
              <w:rFonts w:ascii="Calibri" w:hAnsi="Calibri" w:cs="Calibri"/>
              <w:b w:val="0"/>
              <w:i w:val="0"/>
              <w:color w:val="666666"/>
              <w:sz w:val="14"/>
              <w:u w:val="none"/>
            </w:rPr>
            <w:t>Praça XV de Novembro, 127  •  Centro  •  Oliveira/MG  •  (37) 3331-9800</w:t>
          </w:r>
        </w:p>
      </w:tc>
    </w:tr>
  </w:tbl>
  <w:p>
    <w:pPr>
      <w:spacing w:line="20" w:lineRule="auto" w:before="30" w:after="0"/>
      <w:pBdr>
        <w:bottom w:val="single" w:sz="4" w:color="AAAAAA" w:space="1"/>
      </w:pBdr>
    </w:pPr>
  </w:p>
  <w:p>
    <w:pPr>
      <w:spacing w:line="20" w:lineRule="auto" w:before="4" w:after="0"/>
      <w:pBdr>
        <w:bottom w:val="single" w:sz="18" w:color="1F3864" w:space="1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