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vertAlign w:val="baseline"/>
          <w:rtl w:val="0"/>
        </w:rPr>
        <w:t xml:space="preserve">TRIAGEM - SMOSU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7368"/>
        <w:tblGridChange w:id="0">
          <w:tblGrid>
            <w:gridCol w:w="2518"/>
            <w:gridCol w:w="7368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Processo n°: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1217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Requerimento: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Habite-se e Averbação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Outros (especificar):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-109533</wp:posOffset>
                </wp:positionH>
                <wp:positionV relativeFrom="paragraph">
                  <wp:posOffset>83503</wp:posOffset>
                </wp:positionV>
                <wp:extent cx="6400800" cy="10668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cap="flat" cmpd="sng" w="9525">
                          <a:solidFill>
                            <a:srgbClr val="F2F2F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-109533</wp:posOffset>
                </wp:positionH>
                <wp:positionV relativeFrom="paragraph">
                  <wp:posOffset>83503</wp:posOffset>
                </wp:positionV>
                <wp:extent cx="6400800" cy="1066800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066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120" w:before="120" w:line="360" w:lineRule="auto"/>
        <w:ind w:firstLine="709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Conforme Decreto n°4.149 de 19 de dezembro de 2019, estabelece procedimentos e critérios para a concessão da aprovação de projetos e dá outras providências, e vistoria do setor de Fiscalização.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Documentação para análise técnica: </w:t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    ) Deferida           (   X   ) Indeferida</w:t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Comunicado visto o Indeferimento: </w:t>
      </w:r>
    </w:p>
    <w:p w:rsidR="00000000" w:rsidDel="00000000" w:rsidP="00000000" w:rsidRDefault="00000000" w:rsidRPr="00000000" w14:paraId="0000000E">
      <w:pPr>
        <w:spacing w:before="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- Anexar ao pr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ojeto “as built” para Regularização do Imovel;</w:t>
      </w:r>
    </w:p>
    <w:p w:rsidR="00000000" w:rsidDel="00000000" w:rsidP="00000000" w:rsidRDefault="00000000" w:rsidRPr="00000000" w14:paraId="0000000F">
      <w:pPr>
        <w:spacing w:before="0" w:lineRule="auto"/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(Conforme parecer fiscal em anexo [pág 02], foi detectado,a necessidade de projeto “as built”, por esse motivo deverá ser iniciado processo de Regularização de Imóvel para posterior solicitação de Habite-se e Averbação).</w:t>
      </w:r>
    </w:p>
    <w:p w:rsidR="00000000" w:rsidDel="00000000" w:rsidP="00000000" w:rsidRDefault="00000000" w:rsidRPr="00000000" w14:paraId="00000010">
      <w:pPr>
        <w:spacing w:before="24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- Anexar ao processo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ART/RRT/TRT de “Projeto as buit”;</w:t>
      </w:r>
    </w:p>
    <w:p w:rsidR="00000000" w:rsidDel="00000000" w:rsidP="00000000" w:rsidRDefault="00000000" w:rsidRPr="00000000" w14:paraId="00000011">
      <w:pPr>
        <w:spacing w:before="24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- Anexar ao processo Laudo Técnico;</w:t>
      </w:r>
    </w:p>
    <w:p w:rsidR="00000000" w:rsidDel="00000000" w:rsidP="00000000" w:rsidRDefault="00000000" w:rsidRPr="00000000" w14:paraId="00000012">
      <w:pPr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276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Oliveira, </w:t>
      </w:r>
      <w:r w:rsidDel="00000000" w:rsidR="00000000" w:rsidRPr="00000000">
        <w:rPr>
          <w:rFonts w:ascii="Arial" w:cs="Arial" w:eastAsia="Arial" w:hAnsi="Arial"/>
          <w:rtl w:val="0"/>
        </w:rPr>
        <w:t xml:space="preserve">13 de Fevereiro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de 2026.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Pedro Barros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Secretaria Municipal de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e Serviços Urbanos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6191250" cy="7353522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1599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7353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7" w:top="1440" w:left="1080" w:right="1080" w:header="142" w:footer="17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Bodoni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color w:val="00000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1252.0" w:type="dxa"/>
      <w:jc w:val="left"/>
      <w:tblInd w:w="-724.0" w:type="dxa"/>
      <w:tblLayout w:type="fixed"/>
      <w:tblLook w:val="0000"/>
    </w:tblPr>
    <w:tblGrid>
      <w:gridCol w:w="11252"/>
      <w:tblGridChange w:id="0">
        <w:tblGrid>
          <w:gridCol w:w="11252"/>
        </w:tblGrid>
      </w:tblGridChange>
    </w:tblGrid>
    <w:tr>
      <w:trPr>
        <w:cantSplit w:val="0"/>
        <w:trHeight w:val="2075" w:hRule="atLeast"/>
        <w:tblHeader w:val="1"/>
      </w:trPr>
      <w:tc>
        <w:tcPr>
          <w:tcBorders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5">
          <w:pPr>
            <w:keepNext w:val="1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1717" w:right="1739" w:firstLine="0"/>
            <w:jc w:val="center"/>
            <w:rPr>
              <w:rFonts w:ascii="Bodoni" w:cs="Bodoni" w:eastAsia="Bodoni" w:hAnsi="Bodoni"/>
              <w:b w:val="0"/>
              <w:bCs w:val="0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doni" w:cs="Bodoni" w:eastAsia="Bodoni" w:hAnsi="Bodoni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PREFEITURA DE OLIVEIRA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b="0" l="0" r="0" t="0"/>
                <wp:wrapNone/>
                <wp:docPr id="9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b="0" l="0" r="0" t="0"/>
                <wp:wrapSquare wrapText="bothSides" distB="0" distT="0" distL="114300" distR="114300"/>
                <wp:docPr descr="PREFEITURA DE OLIVEIRA-MG [LOGOTIPO PNG - RGB - VERTICAL]" id="11" name="image1.png"/>
                <a:graphic>
                  <a:graphicData uri="http://schemas.openxmlformats.org/drawingml/2006/picture">
                    <pic:pic>
                      <pic:nvPicPr>
                        <pic:cNvPr descr="PREFEITURA DE OLIVEIRA-MG [LOGOTIPO PNG - RGB - VERTICAL]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26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vertAlign w:val="baseline"/>
              <w:rtl w:val="0"/>
            </w:rPr>
            <w:t xml:space="preserve">Secretaria de Obras e Serviços Urbanos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0"/>
              <w:szCs w:val="20"/>
              <w:vertAlign w:val="baseline"/>
              <w:rtl w:val="0"/>
            </w:rPr>
            <w:t xml:space="preserve">Praça XV de Novembro, 127 | Centro |Oliveira/MG | 35540-000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Obras.pmo@oliveira.mg.gov.br – (37) 3332-9184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="2124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sz w:val="36"/>
      <w:szCs w:val="36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suppressAutoHyphens w:val="0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">
    <w:name w:val="WW-Absatz-Standardschriftart11"/>
    <w:next w:val="WW-Absatz-Standardschriftart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">
    <w:name w:val="WW-Absatz-Standardschriftart111"/>
    <w:next w:val="WW-Absatz-Standardschriftart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">
    <w:name w:val="WW-Absatz-Standardschriftart1111"/>
    <w:next w:val="WW-Absatz-Standardschriftart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">
    <w:name w:val="WW-Absatz-Standardschriftart11111"/>
    <w:next w:val="WW-Absatz-Standardschriftart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">
    <w:name w:val="WW-Absatz-Standardschriftart111111"/>
    <w:next w:val="WW-Absatz-Standardschriftart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">
    <w:name w:val="WW-Absatz-Standardschriftart1111111"/>
    <w:next w:val="WW-Absatz-Standardschriftart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">
    <w:name w:val="WW-Absatz-Standardschriftart11111111"/>
    <w:next w:val="WW-Absatz-Standardschriftart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">
    <w:name w:val="WW-Absatz-Standardschriftart111111111"/>
    <w:next w:val="WW-Absatz-Standardschriftart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">
    <w:name w:val="WW-Absatz-Standardschriftart1111111111"/>
    <w:next w:val="WW-Absatz-Standardschriftart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">
    <w:name w:val="WW-Absatz-Standardschriftart11111111111"/>
    <w:next w:val="WW-Absatz-Standardschriftart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">
    <w:name w:val="WW-Absatz-Standardschriftart111111111111"/>
    <w:next w:val="WW-Absatz-Standardschriftart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">
    <w:name w:val="WW-Absatz-Standardschriftart1111111111111"/>
    <w:next w:val="WW-Absatz-Standardschriftart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">
    <w:name w:val="WW-Absatz-Standardschriftart11111111111111"/>
    <w:next w:val="WW-Absatz-Standardschriftart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">
    <w:name w:val="WW-Absatz-Standardschriftart111111111111111"/>
    <w:next w:val="WW-Absatz-Standardschriftart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">
    <w:name w:val="WW-Absatz-Standardschriftart1111111111111111"/>
    <w:next w:val="WW-Absatz-Standardschriftart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">
    <w:name w:val="WW-Absatz-Standardschriftart11111111111111111"/>
    <w:next w:val="WW-Absatz-Standardschriftart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">
    <w:name w:val="WW-Absatz-Standardschriftart111111111111111111"/>
    <w:next w:val="WW-Absatz-Standardschriftart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">
    <w:name w:val="WW-Absatz-Standardschriftart1111111111111111111"/>
    <w:next w:val="WW-Absatz-Standardschriftart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">
    <w:name w:val="WW-Absatz-Standardschriftart11111111111111111111"/>
    <w:next w:val="WW-Absatz-Standardschriftart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">
    <w:name w:val="WW-Absatz-Standardschriftart111111111111111111111"/>
    <w:next w:val="WW-Absatz-Standardschriftart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">
    <w:name w:val="WW-Absatz-Standardschriftart1111111111111111111111"/>
    <w:next w:val="WW-Absatz-Standardschriftart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">
    <w:name w:val="WW-Absatz-Standardschriftart11111111111111111111111"/>
    <w:next w:val="WW-Absatz-Standardschriftart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">
    <w:name w:val="WW-Absatz-Standardschriftart111111111111111111111111"/>
    <w:next w:val="WW-Absatz-Standardschriftart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">
    <w:name w:val="WW-Absatz-Standardschriftart1111111111111111111111111"/>
    <w:next w:val="WW-Absatz-Standardschriftart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">
    <w:name w:val="WW-Absatz-Standardschriftart11111111111111111111111111"/>
    <w:next w:val="WW-Absatz-Standardschriftart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">
    <w:name w:val="WW-Absatz-Standardschriftart111111111111111111111111111"/>
    <w:next w:val="WW-Absatz-Standardschriftart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">
    <w:name w:val="WW-Absatz-Standardschriftart1111111111111111111111111111"/>
    <w:next w:val="WW-Absatz-Standardschriftart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">
    <w:name w:val="WW-Absatz-Standardschriftart11111111111111111111111111111"/>
    <w:next w:val="WW-Absatz-Standardschriftart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">
    <w:name w:val="WW-Absatz-Standardschriftart111111111111111111111111111111"/>
    <w:next w:val="WW-Absatz-Standardschriftart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">
    <w:name w:val="WW-Absatz-Standardschriftart1111111111111111111111111111111"/>
    <w:next w:val="WW-Absatz-Standardschriftart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">
    <w:name w:val="WW-Absatz-Standardschriftart11111111111111111111111111111111"/>
    <w:next w:val="WW-Absatz-Standardschriftart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">
    <w:name w:val="WW-Absatz-Standardschriftart111111111111111111111111111111111"/>
    <w:next w:val="WW-Absatz-Standardschriftart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">
    <w:name w:val="WW-Absatz-Standardschriftart1111111111111111111111111111111111"/>
    <w:next w:val="WW-Absatz-Standardschriftart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">
    <w:name w:val="WW-Absatz-Standardschriftart11111111111111111111111111111111111"/>
    <w:next w:val="WW-Absatz-Standardschriftart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">
    <w:name w:val="WW-Absatz-Standardschriftart111111111111111111111111111111111111"/>
    <w:next w:val="WW-Absatz-Standardschriftart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">
    <w:name w:val="WW-Absatz-Standardschriftart1111111111111111111111111111111111111"/>
    <w:next w:val="WW-Absatz-Standardschriftart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1">
    <w:name w:val="WW-Absatz-Standardschriftart11111111111111111111111111111111111111"/>
    <w:next w:val="WW-Absatz-Standardschriftart1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11">
    <w:name w:val="WW-Absatz-Standardschriftart111111111111111111111111111111111111111"/>
    <w:next w:val="WW-Absatz-Standardschriftart11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rFonts w:ascii="Times New Roman" w:cs="Times New Roman" w:hAnsi="Times New Roman"/>
      <w:b w:val="1"/>
      <w:i w:val="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eastAsia="Arial Unicode MS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Lucida Sans Unicode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apítulo">
    <w:name w:val="Capítulo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MS Mincho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atabela">
    <w:name w:val="Título da tabela"/>
    <w:basedOn w:val="Conteúdodatabela"/>
    <w:next w:val="Títul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66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 Unicode MS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Recuodecorpodetexto22">
    <w:name w:val="Recuo de corpo de texto 22"/>
    <w:basedOn w:val="Normal"/>
    <w:next w:val="Recuodecorpodetexto22"/>
    <w:autoRedefine w:val="0"/>
    <w:hidden w:val="0"/>
    <w:qFormat w:val="0"/>
    <w:pPr>
      <w:widowControl w:val="0"/>
      <w:suppressAutoHyphens w:val="0"/>
      <w:spacing w:line="1" w:lineRule="atLeast"/>
      <w:ind w:left="855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 Unicode MS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Arial Unicode MS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ar-SA" w:val="und"/>
    </w:rPr>
  </w:style>
  <w:style w:type="paragraph" w:styleId="Recuodecorpodetexto21">
    <w:name w:val="Recuo de corpo de texto 21"/>
    <w:basedOn w:val="Normal"/>
    <w:next w:val="Recuodecorpodetexto21"/>
    <w:autoRedefine w:val="0"/>
    <w:hidden w:val="0"/>
    <w:qFormat w:val="0"/>
    <w:pPr>
      <w:widowControl w:val="1"/>
      <w:suppressAutoHyphens w:val="0"/>
      <w:spacing w:line="1" w:lineRule="atLeast"/>
      <w:ind w:left="855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widowControl w:val="1"/>
      <w:suppressAutoHyphens w:val="1"/>
      <w:spacing w:after="119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western">
    <w:name w:val="western"/>
    <w:basedOn w:val="Normal"/>
    <w:next w:val="western"/>
    <w:autoRedefine w:val="0"/>
    <w:hidden w:val="0"/>
    <w:qFormat w:val="0"/>
    <w:pPr>
      <w:widowControl w:val="1"/>
      <w:suppressAutoHyphens w:val="1"/>
      <w:spacing w:after="119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Bodoni-regular.ttf"/><Relationship Id="rId4" Type="http://schemas.openxmlformats.org/officeDocument/2006/relationships/font" Target="fonts/Bodoni-bold.ttf"/><Relationship Id="rId5" Type="http://schemas.openxmlformats.org/officeDocument/2006/relationships/font" Target="fonts/Bodoni-italic.ttf"/><Relationship Id="rId6" Type="http://schemas.openxmlformats.org/officeDocument/2006/relationships/font" Target="fonts/Bodoni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fW70C43xciHtrSN2kfHYfrlslg==">CgMxLjA4AHIhMTZFYm1ucTgzWlpNdDRvYk9pZ1ZvdVpEU0xILTFkLWtt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2025-12-12T16:19:00Z</dcterms:created>
  <dc:creator>sab sab</dc:creator>
</cp:coreProperties>
</file>