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1270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Habite-se e Averbação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-114294</wp:posOffset>
                </wp:positionH>
                <wp:positionV relativeFrom="paragraph">
                  <wp:posOffset>78740</wp:posOffset>
                </wp:positionV>
                <wp:extent cx="6410325" cy="10763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-114294</wp:posOffset>
                </wp:positionH>
                <wp:positionV relativeFrom="paragraph">
                  <wp:posOffset>78740</wp:posOffset>
                </wp:positionV>
                <wp:extent cx="6410325" cy="1076325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0325" cy="1076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ojeto “as built” para Regularização do Imovel;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(Conforme parecer fiscal em anexo [pág 02], foi detectado,a necessidade de projeto “as built”, por esse motivo deverá ser iniciado processo de Regularização de Imóvel para posterior solicitação de Habite-se e Averbação).</w:t>
      </w:r>
    </w:p>
    <w:p w:rsidR="00000000" w:rsidDel="00000000" w:rsidP="00000000" w:rsidRDefault="00000000" w:rsidRPr="00000000" w14:paraId="00000010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ao processo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ART/RRT/TRT de “Projeto as buit”;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- Anexar ao processo Laudo Técnico;</w:t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13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191250" cy="7353522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1599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35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5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13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14" name="image1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PtklsRmDH2x3o1Z5ekQUgAtcQ==">CgMxLjA4AHIhMThHbUxxbGJxbTdBRC1PQ2IwRWRpWXZCVEp2c29PaFhC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