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vertAlign w:val="baseline"/>
          <w:rtl w:val="0"/>
        </w:rPr>
        <w:t xml:space="preserve">TRIAGEM - SMOSU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8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368"/>
        <w:tblGridChange w:id="0">
          <w:tblGrid>
            <w:gridCol w:w="2518"/>
            <w:gridCol w:w="7368"/>
          </w:tblGrid>
        </w:tblGridChange>
      </w:tblGrid>
      <w:tr>
        <w:trPr>
          <w:cantSplit w:val="0"/>
          <w:trHeight w:val="41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Processo n°: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1462 /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Requerimento: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Habite-se e Segunda Via de Alvará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Arial" w:cs="Arial" w:eastAsia="Arial" w:hAnsi="Arial"/>
                <w:sz w:val="28"/>
                <w:szCs w:val="28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Outros (especificar):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8"/>
          <w:szCs w:val="28"/>
          <w:u w:val="singl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-119054</wp:posOffset>
                </wp:positionH>
                <wp:positionV relativeFrom="paragraph">
                  <wp:posOffset>73978</wp:posOffset>
                </wp:positionV>
                <wp:extent cx="6419850" cy="108585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cap="flat" cmpd="sng" w="9525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-119054</wp:posOffset>
                </wp:positionH>
                <wp:positionV relativeFrom="paragraph">
                  <wp:posOffset>73978</wp:posOffset>
                </wp:positionV>
                <wp:extent cx="6419850" cy="1085850"/>
                <wp:effectExtent b="0" l="0" r="0" t="0"/>
                <wp:wrapNone/>
                <wp:docPr id="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9850" cy="1085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after="120" w:before="120" w:line="360" w:lineRule="auto"/>
        <w:ind w:firstLine="709"/>
        <w:jc w:val="both"/>
        <w:rPr>
          <w:i w:val="0"/>
          <w:iCs w:val="0"/>
          <w:vertAlign w:val="baseline"/>
        </w:rPr>
      </w:pPr>
      <w:r w:rsidDel="00000000" w:rsidR="00000000" w:rsidRPr="00000000">
        <w:rPr>
          <w:i w:val="1"/>
          <w:iCs w:val="1"/>
          <w:vertAlign w:val="baseline"/>
          <w:rtl w:val="0"/>
        </w:rPr>
        <w:t xml:space="preserve">Conforme Decreto n°4.149 de 19 de dezembro de 2019, estabelece procedimentos e critérios para a concessão da aprovação de projetos e dá outras providências, e vistoria do setor de Fiscalização.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Documentação para análise técnica: </w:t>
      </w:r>
    </w:p>
    <w:p w:rsidR="00000000" w:rsidDel="00000000" w:rsidP="00000000" w:rsidRDefault="00000000" w:rsidRPr="00000000" w14:paraId="0000000C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    ) Deferida           (   X   ) Indeferida</w:t>
      </w:r>
    </w:p>
    <w:p w:rsidR="00000000" w:rsidDel="00000000" w:rsidP="00000000" w:rsidRDefault="00000000" w:rsidRPr="00000000" w14:paraId="0000000D">
      <w:pPr>
        <w:spacing w:after="120" w:before="120"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Comunicado visto o Indeferimento: </w:t>
      </w:r>
    </w:p>
    <w:p w:rsidR="00000000" w:rsidDel="00000000" w:rsidP="00000000" w:rsidRDefault="00000000" w:rsidRPr="00000000" w14:paraId="0000000E">
      <w:pPr>
        <w:spacing w:before="0" w:lineRule="auto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vertAlign w:val="baseline"/>
          <w:rtl w:val="0"/>
        </w:rPr>
        <w:t xml:space="preserve">- Anexar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ao processo digital, Multa por quebra de parâmetro construtivo</w:t>
      </w:r>
    </w:p>
    <w:p w:rsidR="00000000" w:rsidDel="00000000" w:rsidP="00000000" w:rsidRDefault="00000000" w:rsidRPr="00000000" w14:paraId="0000000F">
      <w:pPr>
        <w:spacing w:before="0" w:lineRule="auto"/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(Conforme parecer fiscal não foi respeitada área permeável conforme projeto aprovado que correspondia a 21,83% ou 43,66m². Multa referente à 43,66m² -11,13m² = 32,53m² ).</w:t>
      </w:r>
    </w:p>
    <w:p w:rsidR="00000000" w:rsidDel="00000000" w:rsidP="00000000" w:rsidRDefault="00000000" w:rsidRPr="00000000" w14:paraId="00000010">
      <w:pPr>
        <w:ind w:left="850.393700787401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50.3937007874017" w:firstLine="0"/>
        <w:jc w:val="both"/>
        <w:rPr>
          <w:rFonts w:ascii="Arial" w:cs="Arial" w:eastAsia="Arial" w:hAnsi="Arial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50.3937007874017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76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Oliveira, </w:t>
      </w:r>
      <w:r w:rsidDel="00000000" w:rsidR="00000000" w:rsidRPr="00000000">
        <w:rPr>
          <w:rFonts w:ascii="Arial" w:cs="Arial" w:eastAsia="Arial" w:hAnsi="Arial"/>
          <w:rtl w:val="0"/>
        </w:rPr>
        <w:t xml:space="preserve">19 de Fevereiro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2026.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Pedro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0"/>
          <w:bCs w:val="0"/>
          <w:sz w:val="6"/>
          <w:szCs w:val="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rial" w:cs="Arial" w:eastAsia="Arial" w:hAnsi="Arial"/>
          <w:b w:val="0"/>
          <w:bCs w:val="0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Secretaria Municipal de Obras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vertAlign w:val="baseline"/>
          <w:rtl w:val="0"/>
        </w:rPr>
        <w:t xml:space="preserve">e Serviços Urbanos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6191250" cy="7353522"/>
            <wp:effectExtent b="0" l="0" r="0" t="0"/>
            <wp:docPr id="1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15993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7353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7" w:top="1440" w:left="1080" w:right="1080" w:header="142" w:footer="17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Bodoni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color w:val="00000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252.0" w:type="dxa"/>
      <w:jc w:val="left"/>
      <w:tblInd w:w="-724.0" w:type="dxa"/>
      <w:tblLayout w:type="fixed"/>
      <w:tblLook w:val="0000"/>
    </w:tblPr>
    <w:tblGrid>
      <w:gridCol w:w="11252"/>
      <w:tblGridChange w:id="0">
        <w:tblGrid>
          <w:gridCol w:w="11252"/>
        </w:tblGrid>
      </w:tblGridChange>
    </w:tblGrid>
    <w:tr>
      <w:trPr>
        <w:cantSplit w:val="0"/>
        <w:trHeight w:val="2075" w:hRule="atLeast"/>
        <w:tblHeader w:val="1"/>
      </w:trPr>
      <w:tc>
        <w:tcPr>
          <w:tcBorders>
            <w:bottom w:color="000000" w:space="0" w:sz="4" w:val="single"/>
          </w:tcBorders>
          <w:vAlign w:val="top"/>
        </w:tcPr>
        <w:p w:rsidR="00000000" w:rsidDel="00000000" w:rsidP="00000000" w:rsidRDefault="00000000" w:rsidRPr="00000000" w14:paraId="00000024">
          <w:pPr>
            <w:keepNext w:val="1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1717" w:right="1739" w:firstLine="0"/>
            <w:jc w:val="center"/>
            <w:rPr>
              <w:rFonts w:ascii="Bodoni" w:cs="Bodoni" w:eastAsia="Bodoni" w:hAnsi="Bodoni"/>
              <w:b w:val="0"/>
              <w:bCs w:val="0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odoni" w:cs="Bodoni" w:eastAsia="Bodoni" w:hAnsi="Bodoni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PREFEITURA DE OLIVEIRA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b="0" l="0" r="0" t="0"/>
                <wp:wrapNone/>
                <wp:docPr id="1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b="0" l="0" r="0" t="0"/>
                <wp:wrapSquare wrapText="bothSides" distB="0" distT="0" distL="114300" distR="114300"/>
                <wp:docPr descr="PREFEITURA DE OLIVEIRA-MG [LOGOTIPO PNG - RGB - VERTICAL]" id="18" name="image3.png"/>
                <a:graphic>
                  <a:graphicData uri="http://schemas.openxmlformats.org/drawingml/2006/picture">
                    <pic:pic>
                      <pic:nvPicPr>
                        <pic:cNvPr descr="PREFEITURA DE OLIVEIRA-MG [LOGOTIPO PNG - RGB - VERTICAL]"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  <w:p w:rsidR="00000000" w:rsidDel="00000000" w:rsidP="00000000" w:rsidRDefault="00000000" w:rsidRPr="00000000" w14:paraId="00000025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vertAlign w:val="baseline"/>
              <w:rtl w:val="0"/>
            </w:rPr>
            <w:t xml:space="preserve">Secretaria de Obras e Serviços Urbanos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0"/>
              <w:szCs w:val="20"/>
              <w:vertAlign w:val="baseline"/>
              <w:rtl w:val="0"/>
            </w:rPr>
            <w:t xml:space="preserve">Praça XV de Novembro, 127 | Centro |Oliveira/MG | 35540-000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spacing w:after="120" w:lineRule="auto"/>
            <w:ind w:left="1717" w:right="1739" w:firstLine="0"/>
            <w:jc w:val="center"/>
            <w:rPr>
              <w:rFonts w:ascii="Tahoma" w:cs="Tahoma" w:eastAsia="Tahoma" w:hAnsi="Tahoma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Obras.pmo@oliveira.mg.gov.br – (37) 3332-9184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0">
    <w:name w:val="Título 1"/>
    <w:basedOn w:val="Normal"/>
    <w:next w:val="Normal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line="1" w:lineRule="atLeast"/>
      <w:ind w:left="2124" w:right="0" w:leftChars="-1" w:rightChars="0" w:firstLine="0" w:firstLineChars="-1"/>
      <w:textDirection w:val="btLr"/>
      <w:textAlignment w:val="top"/>
      <w:outlineLvl w:val="0"/>
    </w:pPr>
    <w:rPr>
      <w:w w:val="100"/>
      <w:kern w:val="1"/>
      <w:position w:val="-1"/>
      <w:sz w:val="36"/>
      <w:szCs w:val="36"/>
      <w:effect w:val="none"/>
      <w:vertAlign w:val="baseline"/>
      <w:cs w:val="0"/>
      <w:em w:val="none"/>
      <w:lang w:bidi="ar-SA" w:eastAsia="ar-SA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widowControl w:val="0"/>
      <w:suppressAutoHyphens w:val="0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bidi="ar-SA" w:eastAsia="ar-SA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">
    <w:name w:val="WW-Absatz-Standardschriftart"/>
    <w:next w:val="WW-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">
    <w:name w:val="WW-Absatz-Standardschriftart1"/>
    <w:next w:val="WW-Absatz-Standardschriftart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">
    <w:name w:val="WW-Absatz-Standardschriftart11"/>
    <w:next w:val="WW-Absatz-Standardschriftart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">
    <w:name w:val="WW-Absatz-Standardschriftart111"/>
    <w:next w:val="WW-Absatz-Standardschriftart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">
    <w:name w:val="WW-Absatz-Standardschriftart1111"/>
    <w:next w:val="WW-Absatz-Standardschriftart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">
    <w:name w:val="WW-Absatz-Standardschriftart11111"/>
    <w:next w:val="WW-Absatz-Standardschriftart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">
    <w:name w:val="WW-Absatz-Standardschriftart111111"/>
    <w:next w:val="WW-Absatz-Standardschriftart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">
    <w:name w:val="WW-Absatz-Standardschriftart1111111"/>
    <w:next w:val="WW-Absatz-Standardschriftart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">
    <w:name w:val="WW-Absatz-Standardschriftart11111111"/>
    <w:next w:val="WW-Absatz-Standardschriftart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">
    <w:name w:val="WW-Absatz-Standardschriftart111111111"/>
    <w:next w:val="WW-Absatz-Standardschriftart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">
    <w:name w:val="WW-Absatz-Standardschriftart1111111111"/>
    <w:next w:val="WW-Absatz-Standardschriftart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">
    <w:name w:val="WW-Absatz-Standardschriftart11111111111"/>
    <w:next w:val="WW-Absatz-Standardschriftart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">
    <w:name w:val="WW-Absatz-Standardschriftart111111111111"/>
    <w:next w:val="WW-Absatz-Standardschriftart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">
    <w:name w:val="WW-Absatz-Standardschriftart1111111111111"/>
    <w:next w:val="WW-Absatz-Standardschriftart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">
    <w:name w:val="WW-Absatz-Standardschriftart11111111111111"/>
    <w:next w:val="WW-Absatz-Standardschriftart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">
    <w:name w:val="WW-Absatz-Standardschriftart111111111111111"/>
    <w:next w:val="WW-Absatz-Standardschriftart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">
    <w:name w:val="WW-Absatz-Standardschriftart1111111111111111"/>
    <w:next w:val="WW-Absatz-Standardschriftart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">
    <w:name w:val="WW-Absatz-Standardschriftart11111111111111111"/>
    <w:next w:val="WW-Absatz-Standardschriftart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">
    <w:name w:val="WW-Absatz-Standardschriftart111111111111111111"/>
    <w:next w:val="WW-Absatz-Standardschriftart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">
    <w:name w:val="WW-Absatz-Standardschriftart1111111111111111111"/>
    <w:next w:val="WW-Absatz-Standardschriftart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">
    <w:name w:val="WW-Absatz-Standardschriftart11111111111111111111"/>
    <w:next w:val="WW-Absatz-Standardschriftart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">
    <w:name w:val="WW-Absatz-Standardschriftart111111111111111111111"/>
    <w:next w:val="WW-Absatz-Standardschriftart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">
    <w:name w:val="WW-Absatz-Standardschriftart1111111111111111111111"/>
    <w:next w:val="WW-Absatz-Standardschriftart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">
    <w:name w:val="WW-Absatz-Standardschriftart11111111111111111111111"/>
    <w:next w:val="WW-Absatz-Standardschriftart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">
    <w:name w:val="WW-Absatz-Standardschriftart111111111111111111111111"/>
    <w:next w:val="WW-Absatz-Standardschriftart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">
    <w:name w:val="WW-Absatz-Standardschriftart1111111111111111111111111"/>
    <w:next w:val="WW-Absatz-Standardschriftart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">
    <w:name w:val="WW-Absatz-Standardschriftart11111111111111111111111111"/>
    <w:next w:val="WW-Absatz-Standardschriftart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">
    <w:name w:val="WW-Absatz-Standardschriftart111111111111111111111111111"/>
    <w:next w:val="WW-Absatz-Standardschriftart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">
    <w:name w:val="WW-Absatz-Standardschriftart1111111111111111111111111111"/>
    <w:next w:val="WW-Absatz-Standardschriftart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">
    <w:name w:val="WW-Absatz-Standardschriftart11111111111111111111111111111"/>
    <w:next w:val="WW-Absatz-Standardschriftart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">
    <w:name w:val="WW-Absatz-Standardschriftart111111111111111111111111111111"/>
    <w:next w:val="WW-Absatz-Standardschriftart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">
    <w:name w:val="WW-Absatz-Standardschriftart1111111111111111111111111111111"/>
    <w:next w:val="WW-Absatz-Standardschriftart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">
    <w:name w:val="WW-Absatz-Standardschriftart11111111111111111111111111111111"/>
    <w:next w:val="WW-Absatz-Standardschriftart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">
    <w:name w:val="WW-Absatz-Standardschriftart111111111111111111111111111111111"/>
    <w:next w:val="WW-Absatz-Standardschriftart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">
    <w:name w:val="WW-Absatz-Standardschriftart1111111111111111111111111111111111"/>
    <w:next w:val="WW-Absatz-Standardschriftart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">
    <w:name w:val="WW-Absatz-Standardschriftart11111111111111111111111111111111111"/>
    <w:next w:val="WW-Absatz-Standardschriftart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">
    <w:name w:val="WW-Absatz-Standardschriftart111111111111111111111111111111111111"/>
    <w:next w:val="WW-Absatz-Standardschriftart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">
    <w:name w:val="WW-Absatz-Standardschriftart1111111111111111111111111111111111111"/>
    <w:next w:val="WW-Absatz-Standardschriftart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">
    <w:name w:val="WW-Absatz-Standardschriftart11111111111111111111111111111111111111"/>
    <w:next w:val="WW-Absatz-Standardschriftart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-Absatz-Standardschriftart111111111111111111111111111111111111111">
    <w:name w:val="WW-Absatz-Standardschriftart111111111111111111111111111111111111111"/>
    <w:next w:val="WW-Absatz-Standardschriftart11111111111111111111111111111111111111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Wingdings" w:cs="Wingdings" w:hAnsi="Wingdings"/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rFonts w:ascii="Symbol" w:cs="Symbol" w:hAnsi="Symbol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Times New Roman" w:cs="Times New Roman" w:hAnsi="Times New Roman"/>
      <w:b w:val="1"/>
      <w:i w:val="0"/>
      <w:w w:val="100"/>
      <w:position w:val="-1"/>
      <w:sz w:val="22"/>
      <w:effect w:val="none"/>
      <w:vertAlign w:val="baseline"/>
      <w:cs w:val="0"/>
      <w:em w:val="none"/>
      <w:lang/>
    </w:rPr>
  </w:style>
  <w:style w:type="character" w:styleId="Fonteparág.padrão1">
    <w:name w:val="Fonte parág. padrão1"/>
    <w:next w:val="Fonteparág.padrão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Título3Char">
    <w:name w:val="Título 3 Char"/>
    <w:next w:val="Título3Ch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Legenda1">
    <w:name w:val="Legenda1"/>
    <w:basedOn w:val="Normal"/>
    <w:next w:val="Legenda1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apítulo">
    <w:name w:val="Capítulo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MS Mincho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ar-SA" w:eastAsia="ar-SA" w:val="pt-BR"/>
    </w:rPr>
  </w:style>
  <w:style w:type="paragraph" w:styleId="Cabeçalho">
    <w:name w:val="Cabeçalho"/>
    <w:basedOn w:val="Normal"/>
    <w:next w:val="Cabeçalho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widowControl w:val="0"/>
      <w:suppressLineNumbers w:val="1"/>
      <w:tabs>
        <w:tab w:val="center" w:leader="none" w:pos="4818"/>
        <w:tab w:val="right" w:leader="none" w:pos="9637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atabela">
    <w:name w:val="Título da tabela"/>
    <w:basedOn w:val="Conteúdodatabela"/>
    <w:next w:val="Títul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widowControl w:val="0"/>
      <w:suppressAutoHyphens w:val="0"/>
      <w:spacing w:line="1" w:lineRule="atLeast"/>
      <w:ind w:left="660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Recuodecorpodetexto22">
    <w:name w:val="Recuo de corpo de texto 22"/>
    <w:basedOn w:val="Normal"/>
    <w:next w:val="Recuodecorpodetexto22"/>
    <w:autoRedefine w:val="0"/>
    <w:hidden w:val="0"/>
    <w:qFormat w:val="0"/>
    <w:pPr>
      <w:widowControl w:val="0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Arial Unicode MS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Corpodetexto21">
    <w:name w:val="Corpo de texto 21"/>
    <w:basedOn w:val="Normal"/>
    <w:next w:val="Corpodetexto21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eastAsia="Arial Unicode MS" w:hAnsi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bidi="ar-SA" w:eastAsia="ar-SA" w:val="und"/>
    </w:rPr>
  </w:style>
  <w:style w:type="paragraph" w:styleId="Recuodecorpodetexto21">
    <w:name w:val="Recuo de corpo de texto 21"/>
    <w:basedOn w:val="Normal"/>
    <w:next w:val="Recuodecorpodetexto21"/>
    <w:autoRedefine w:val="0"/>
    <w:hidden w:val="0"/>
    <w:qFormat w:val="0"/>
    <w:pPr>
      <w:widowControl w:val="1"/>
      <w:suppressAutoHyphens w:val="0"/>
      <w:spacing w:line="1" w:lineRule="atLeast"/>
      <w:ind w:left="855" w:right="0" w:leftChars="-1" w:rightChars="0" w:firstLine="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color w:val="ff0000"/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ar-SA" w:val="pt-BR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western">
    <w:name w:val="western"/>
    <w:basedOn w:val="Normal"/>
    <w:next w:val="western"/>
    <w:autoRedefine w:val="0"/>
    <w:hidden w:val="0"/>
    <w:qFormat w:val="0"/>
    <w:pPr>
      <w:widowControl w:val="1"/>
      <w:suppressAutoHyphens w:val="1"/>
      <w:spacing w:after="119" w:before="100"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ar-SA" w:eastAsia="ar-SA" w:val="pt-BR"/>
    </w:r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Bodoni-regular.ttf"/><Relationship Id="rId4" Type="http://schemas.openxmlformats.org/officeDocument/2006/relationships/font" Target="fonts/Bodoni-bold.ttf"/><Relationship Id="rId5" Type="http://schemas.openxmlformats.org/officeDocument/2006/relationships/font" Target="fonts/Bodoni-italic.ttf"/><Relationship Id="rId6" Type="http://schemas.openxmlformats.org/officeDocument/2006/relationships/font" Target="fonts/Bodoni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SluQpq0+0FSPyiMoppRElo+3LA==">CgMxLjA4AHIhMVVhZ3JrUDY0bG8tYWh2Vy03S29HWEV5SjNiZUFkS3FU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2025-12-12T16:19:00Z</dcterms:created>
  <dc:creator>sab sab</dc:creator>
</cp:coreProperties>
</file>