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B978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3997 / 2026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3409A9" w:rsidRDefault="003409A9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EF67B0">
        <w:rPr>
          <w:rFonts w:ascii="Arial" w:eastAsia="Arial" w:hAnsi="Arial" w:cs="Arial"/>
          <w:sz w:val="22"/>
          <w:u w:val="single"/>
        </w:rPr>
        <w:t xml:space="preserve">Conforme </w:t>
      </w:r>
      <w:r w:rsidR="00EF67B0" w:rsidRPr="00B97837">
        <w:rPr>
          <w:rFonts w:ascii="Arial" w:eastAsia="Arial" w:hAnsi="Arial" w:cs="Arial"/>
          <w:sz w:val="22"/>
          <w:u w:val="single"/>
        </w:rPr>
        <w:t>Parecer Fiscal</w:t>
      </w:r>
      <w:r w:rsidR="00EF67B0">
        <w:rPr>
          <w:rFonts w:ascii="Arial" w:eastAsia="Arial" w:hAnsi="Arial" w:cs="Arial"/>
          <w:sz w:val="22"/>
          <w:u w:val="single"/>
        </w:rPr>
        <w:t xml:space="preserve"> </w:t>
      </w:r>
      <w:r w:rsidR="00B97837">
        <w:rPr>
          <w:rFonts w:ascii="Arial" w:eastAsia="Arial" w:hAnsi="Arial" w:cs="Arial"/>
          <w:sz w:val="22"/>
          <w:u w:val="single"/>
        </w:rPr>
        <w:t xml:space="preserve">que identificou a edificação como Habitável, o requerente deve apresentar </w:t>
      </w:r>
      <w:r w:rsidR="00B97837" w:rsidRPr="00B97837">
        <w:rPr>
          <w:rFonts w:ascii="Arial" w:eastAsia="Arial" w:hAnsi="Arial" w:cs="Arial"/>
          <w:b/>
          <w:sz w:val="22"/>
          <w:u w:val="single"/>
        </w:rPr>
        <w:t>Taxa de Habite-se</w:t>
      </w:r>
      <w:r w:rsidR="00B97837">
        <w:rPr>
          <w:rFonts w:ascii="Arial" w:eastAsia="Arial" w:hAnsi="Arial" w:cs="Arial"/>
          <w:sz w:val="22"/>
          <w:u w:val="single"/>
        </w:rPr>
        <w:t xml:space="preserve"> e Comprovante de Pagamento</w:t>
      </w:r>
      <w:r w:rsidR="00EF67B0">
        <w:rPr>
          <w:rFonts w:ascii="Arial" w:eastAsia="Arial" w:hAnsi="Arial" w:cs="Arial"/>
          <w:sz w:val="22"/>
          <w:u w:val="single"/>
        </w:rPr>
        <w:t>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proofErr w:type="gramStart"/>
      <w:r w:rsidR="00B97837">
        <w:rPr>
          <w:rFonts w:ascii="Arial" w:eastAsia="Arial" w:hAnsi="Arial" w:cs="Arial"/>
        </w:rPr>
        <w:t>6</w:t>
      </w:r>
      <w:proofErr w:type="gramEnd"/>
      <w:r w:rsidR="00B97837">
        <w:rPr>
          <w:rFonts w:ascii="Arial" w:eastAsia="Arial" w:hAnsi="Arial" w:cs="Arial"/>
        </w:rPr>
        <w:t xml:space="preserve"> de Abril</w:t>
      </w:r>
      <w:r>
        <w:rPr>
          <w:rFonts w:ascii="Arial" w:eastAsia="Arial" w:hAnsi="Arial" w:cs="Arial"/>
        </w:rPr>
        <w:t xml:space="preserve"> de 2026.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3409A9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3409A9" w:rsidRDefault="003409A9" w:rsidP="003409A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p w:rsidR="005858E3" w:rsidRDefault="005858E3" w:rsidP="003409A9">
      <w:pPr>
        <w:spacing w:before="120" w:after="120" w:line="276" w:lineRule="auto"/>
        <w:jc w:val="center"/>
        <w:rPr>
          <w:rFonts w:ascii="Arial" w:eastAsia="Arial" w:hAnsi="Arial" w:cs="Arial"/>
          <w:color w:val="000000"/>
        </w:rPr>
      </w:pPr>
    </w:p>
    <w:sectPr w:rsidR="005858E3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15C69C-D6B6-44D8-BB0F-0E8E94CE80DC}"/>
    <w:embedBold r:id="rId2" w:fontKey="{99018E17-428E-49B0-92E0-CABC1D0C6C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42BE456-2DE8-4DF2-874A-EA53FAECA819}"/>
    <w:embedBold r:id="rId4" w:fontKey="{D21CD15A-BF6A-48C8-8631-B9B8E2BB9679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133632C-8552-4904-AB28-70D97C3A031E}"/>
  </w:font>
  <w:font w:name="Bodoni">
    <w:charset w:val="00"/>
    <w:family w:val="auto"/>
    <w:pitch w:val="default"/>
    <w:embedRegular r:id="rId6" w:fontKey="{D730212E-1F35-47D9-A864-49DA98E054E3}"/>
    <w:embedBold r:id="rId7" w:fontKey="{B8674C6B-B289-448C-B1D9-F2647421CB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2C784872-15AB-4840-9504-9B478B1223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5858E3"/>
    <w:rsid w:val="007479E0"/>
    <w:rsid w:val="00B97837"/>
    <w:rsid w:val="00C0233E"/>
    <w:rsid w:val="00EF67B0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2026-04-06T09:26:00Z</dcterms:modified>
</cp:coreProperties>
</file>