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–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3732/2026 de 24 de Março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Certidão de Averbação e Certidão de Decadência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VANESSA APARECIDA DOS SANTOS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solicitação do requerente.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parecer fiscal, que certifica que a obra licenciada pelo Habite-se nº 4941/2018, com área liberada de 138,06 m², emitido em 11/10/2018, referente ao projeto aprovado no processo 2956/2012, localizada na Rua Goitacazes, nº 166, Bairro Caetano Mascarenhas, Oliveira/MG, foi concluída e está habitável.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apresentou título de propriedade do terreno sendo uma Certidão de Matrícula SRI de Inteiro Teor de imóvel em seu nome, registrado sob nº 18.107, Inscrição Cadastral 01.01.081.0150.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disso, poderá ser emitida Certidão de Averbação e Certidão de Decadência referente à área total do Habite-se nº 4941/2018, contendo 138,06 m².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Averbação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Referente à área de 138,06 m² do Habite-se nº 4941/2018 (emitido em 11/10/2018). Matrícula SRI nº 18.107.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Decadência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Referente à área de 138,06 m² do Habite-se nº 4941/2018. Decadência configurada nos termos do Art. 150, §4º do CTN — mais de 5 anos decorridos desde a emissão.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