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377/2026 de 13 de Janeiro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Certidão de Número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LUIS CARLOS DOS SANTOS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 por meio de ofício constante neste processo administrativo.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comprovou a titularidade e regularidade do imóvel através da Matrícula de Inteiro Teor nº 15.794 e Inscrição Cadastral nº 01.01.052.0324.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histórico de regularidade da edificação, atestado pelo Alvará de Construção nº 111/2024 e pela Carta de Habite-se nº 141/2024, que confirmam a área total construída de 261,35 m².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da Fiscalização de Obras datado de 20/03/2026, realizado mediante levantamento in loco, que atesta a conformidade da obra com o projeto aprovado e certifica a divisão das áreas.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Deverá ser mantida a numeração 57 para a área comercial de 52,17 m², mantida a numeração 55 para a área residencial de 115,65 m² e autorizada a emissão de Certidão de Número constando o novo número 59 para a área residencial de 93,52 m² (Lote 11, Quadra 15).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 — Nº 59 (Nova)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residencial de 93,52 m² (Lote 11, Quadra 15). Constar no campo de observações a área residencial individualizada de 93,52 m² para fins de ligação de água (SAAE) e luz (CEMIG). Numerações mantidas: nº 57 (comercial 52,17 m²) e nº 55 (residencial 115,65 m²).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