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88" w:lineRule="auto" w:before="200" w:after="100"/>
      </w:pPr>
      <w:r>
        <w:rPr>
          <w:rFonts w:ascii="Cambria" w:hAnsi="Cambria" w:cs="Cambria"/>
          <w:b/>
          <w:i w:val="0"/>
          <w:color w:val="1F3864"/>
          <w:sz w:val="32"/>
          <w:u w:val="none"/>
        </w:rPr>
        <w:t>PARECER SETOR TÉCNICO - SMOSU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C0C0C0"/>
          <w:left w:val="single" w:sz="4" w:color="C0C0C0"/>
          <w:bottom w:val="single" w:sz="4" w:color="C0C0C0"/>
          <w:right w:val="single" w:sz="4" w:color="C0C0C0"/>
          <w:insideH w:val="single" w:sz="4" w:color="C0C0C0"/>
          <w:insideV w:val="single" w:sz="4" w:color="C0C0C0"/>
        </w:tblBorders>
      </w:tblPr>
      <w:tblGrid>
        <w:gridCol w:w="5103"/>
        <w:gridCol w:w="5103"/>
      </w:tblGrid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Processo nº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7035/2025 de 13 de Agosto de 2025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Assunto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Segunda Via Certidão de Número e Renovação de Alvará</w:t>
            </w:r>
          </w:p>
        </w:tc>
      </w:tr>
      <w:tr>
        <w:tc>
          <w:tcPr>
            <w:tcW w:type="dxa" w:w="226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shd w:val="clear" w:color="auto" w:fill="D6DCE4"/>
            <w:tcW w:w="226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/>
                <w:i w:val="0"/>
                <w:color w:val="1F3864"/>
                <w:sz w:val="20"/>
                <w:u w:val="none"/>
              </w:rPr>
              <w:t>Requerente</w:t>
            </w:r>
          </w:p>
        </w:tc>
        <w:tc>
          <w:tcPr>
            <w:tcW w:type="dxa" w:w="7938"/>
            <w:vAlign w:val="center"/>
            <w:tcMar>
              <w:top w:w="30" w:type="dxa"/>
              <w:bottom w:w="30" w:type="dxa"/>
              <w:left w:w="80" w:type="dxa"/>
              <w:right w:w="60" w:type="dxa"/>
            </w:tcMar>
            <w:tcW w:w="7938" w:type="dxa"/>
          </w:tcPr>
          <w:p>
            <w:pPr>
              <w:jc w:val="left"/>
              <w:spacing w:line="280" w:lineRule="auto" w:before="70" w:after="70"/>
            </w:pPr>
            <w:r>
              <w:rPr>
                <w:rFonts w:ascii="Calibri" w:hAnsi="Calibri" w:cs="Calibri"/>
                <w:b w:val="0"/>
                <w:i w:val="0"/>
                <w:sz w:val="20"/>
                <w:u w:val="none"/>
              </w:rPr>
              <w:t>JULIANO PEREIRA DE MORAIS</w:t>
            </w:r>
          </w:p>
        </w:tc>
      </w:tr>
    </w:tbl>
    <w:p>
      <w:pPr>
        <w:spacing w:line="60" w:lineRule="auto" w:before="80" w:after="60"/>
        <w:pBdr>
          <w:bottom w:val="single" w:sz="4" w:color="D0D0D0"/>
        </w:pBdr>
      </w:pP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CONSIDERANDOS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A solicitação do requerente.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O parecer fiscal, que certifica que a obra licenciada pelo Alvará de Construção nº 383/2021, referente ao projeto aprovado no processo apenso 9104/2021, com 164,00 m², não foi concluída, localizada na Alameda Manoela Santos do Rosário, nº 162 e 156 (Apartamento 01), Bairro Acácio Ribeiro II.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O requerente apresentou título de propriedade do imóvel sendo uma Escritura Pública de Compra e Venda, sob Matrícula 25.824 e Inscrição Cadastral 01.01.182.0379.</w:t>
      </w:r>
    </w:p>
    <w:p>
      <w:pPr>
        <w:ind w:firstLine="709"/>
        <w:jc w:val="both"/>
        <w:spacing w:line="276" w:lineRule="auto" w:before="0" w:after="120"/>
      </w:pPr>
      <w:r>
        <w:rPr>
          <w:rFonts w:ascii="Calibri" w:hAnsi="Calibri" w:cs="Calibri"/>
          <w:b w:val="0"/>
          <w:i w:val="0"/>
          <w:sz w:val="22"/>
          <w:u w:val="none"/>
        </w:rPr>
        <w:t>O Alvará em questão foi renovado em 17 de Setembro de 2025, válido até 17/03/2026.</w:t>
      </w:r>
    </w:p>
    <w:p>
      <w:pPr>
        <w:jc w:val="left"/>
        <w:spacing w:line="260" w:lineRule="auto" w:before="260" w:after="80"/>
        <w:shd w:val="clear" w:color="auto" w:fill="1F3864"/>
        <w:ind w:left="0"/>
      </w:pPr>
      <w:r>
        <w:rPr>
          <w:rFonts w:ascii="Cambria" w:hAnsi="Cambria" w:cs="Cambria"/>
          <w:b/>
          <w:i w:val="0"/>
          <w:color w:val="FFFFFF"/>
          <w:sz w:val="20"/>
          <w:u w:val="none"/>
        </w:rPr>
        <w:t xml:space="preserve">    CONCLUSÃO TÉCNICA</w:t>
      </w:r>
    </w:p>
    <w:p>
      <w:pPr>
        <w:ind w:left="360"/>
        <w:jc w:val="both"/>
        <w:spacing w:line="276" w:lineRule="auto" w:before="100" w:after="80"/>
      </w:pPr>
      <w:r>
        <w:rPr>
          <w:rFonts w:ascii="Calibri" w:hAnsi="Calibri" w:cs="Calibri"/>
          <w:b w:val="0"/>
          <w:i w:val="0"/>
          <w:sz w:val="22"/>
          <w:u w:val="none"/>
        </w:rPr>
        <w:t>Diante disto, poderá ser expedida a Renovação do Alvará de Construção nº 383/2021 por 180 dias, conforme Lei nº 1.544 de 04/03/1986, e a segunda via de certidões de número para CEMIG e SAAE para ambos os números (162 e 156).</w:t>
      </w:r>
    </w:p>
    <w:p>
      <w:pPr>
        <w:pageBreakBefore/>
        <w:spacing w:line="276" w:lineRule="auto" w:before="200" w:after="80"/>
      </w:pPr>
      <w:r>
        <w:rPr>
          <w:rFonts w:ascii="Cambria" w:hAnsi="Cambria" w:cs="Cambria"/>
          <w:b/>
          <w:i w:val="0"/>
          <w:color w:val="1F3864"/>
          <w:sz w:val="22"/>
          <w:u w:val="none"/>
        </w:rPr>
        <w:t>Emissão de Documentos: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Renovação Do Alvará De Construção Nº 383/2021 — 180 Dias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Constar no campo observação: 'Alvará prorrogado por 180 dias' com data de validade a contar da data do parecer. Base legal: Lei nº 1.544 de 04/03/1986.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2ª Via — Certidão De Número Nº 162 (Cemig E Saae)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Alameda Manoela Santos do Rosário, nº 162, Bairro Acácio Ribeiro II. Matrícula 25.824.</w:t>
      </w:r>
    </w:p>
    <w:p>
      <w:pPr>
        <w:spacing w:before="200" w:after="40" w:line="300" w:lineRule="exact"/>
        <w:ind w:left="170"/>
        <w:jc w:val="left"/>
        <w:shd w:val="clear" w:color="auto" w:fill="EBF0FA"/>
        <w:pBdr>
          <w:left w:val="single" w:sz="12" w:color="1F3864" w:space="8"/>
        </w:pBdr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✓  </w:t>
      </w:r>
      <w:r>
        <w:rPr>
          <w:rFonts w:ascii="Calibri" w:hAnsi="Calibri" w:cs="Calibri"/>
          <w:b/>
          <w:i w:val="0"/>
          <w:color w:val="1A1A1A"/>
          <w:sz w:val="22"/>
          <w:u w:val="none"/>
        </w:rPr>
        <w:t>2ª Via — Certidão De Número Nº 156 / Apartamento 01 (Cemig E Saae)</w:t>
      </w:r>
    </w:p>
    <w:p>
      <w:pPr>
        <w:spacing w:before="60" w:after="200" w:line="280" w:lineRule="exact"/>
        <w:ind w:left="454"/>
        <w:jc w:val="both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 xml:space="preserve">Obs.:  </w:t>
      </w:r>
      <w:r>
        <w:rPr>
          <w:rFonts w:ascii="Calibri" w:hAnsi="Calibri" w:cs="Calibri"/>
          <w:b w:val="0"/>
          <w:i/>
          <w:color w:val="444444"/>
          <w:sz w:val="22"/>
          <w:u w:val="none"/>
        </w:rPr>
        <w:t>Alameda Manoela Santos do Rosário, nº 156, Apartamento 01, Bairro Acácio Ribeiro II.</w:t>
      </w:r>
    </w:p>
    <w:p>
      <w:pPr>
        <w:jc w:val="center"/>
        <w:keepNext/>
        <w:spacing w:line="276" w:lineRule="auto" w:before="280" w:after="0"/>
      </w:pPr>
      <w:r>
        <w:rPr>
          <w:rFonts w:ascii="Calibri" w:hAnsi="Calibri" w:cs="Calibri"/>
          <w:b w:val="0"/>
          <w:i w:val="0"/>
          <w:sz w:val="22"/>
          <w:u w:val="none"/>
        </w:rPr>
        <w:t>Oliveira, 6 de maio de 2026.</w:t>
      </w: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keepNext/>
        <w:spacing w:line="240" w:lineRule="auto" w:before="0" w:after="0"/>
      </w:pPr>
    </w:p>
    <w:p>
      <w:pPr>
        <w:ind w:left="2000" w:right="2000"/>
        <w:jc w:val="center"/>
        <w:spacing w:line="60" w:lineRule="auto" w:before="0" w:after="60"/>
        <w:keepNext/>
        <w:pBdr>
          <w:bottom w:val="single" w:sz="6" w:color="1F3864" w:space="1"/>
        </w:pBdr>
      </w:pPr>
    </w:p>
    <w:p>
      <w:pPr>
        <w:jc w:val="center"/>
        <w:keepNext/>
        <w:spacing w:line="276" w:lineRule="auto" w:before="40" w:after="0"/>
      </w:pPr>
      <w:r>
        <w:rPr>
          <w:rFonts w:ascii="Calibri" w:hAnsi="Calibri" w:cs="Calibri"/>
          <w:b/>
          <w:i w:val="0"/>
          <w:color w:val="1F3864"/>
          <w:sz w:val="22"/>
          <w:u w:val="none"/>
        </w:rPr>
        <w:t>Diego Tarcísio Nunes Vilela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Engenheiro Civil</w:t>
      </w:r>
    </w:p>
    <w:p>
      <w:pPr>
        <w:jc w:val="center"/>
        <w:keepNext/>
        <w:spacing w:line="240" w:lineRule="auto" w:before="0" w:after="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CREA 235.474/D</w:t>
      </w:r>
    </w:p>
    <w:p>
      <w:pPr>
        <w:jc w:val="center"/>
        <w:spacing w:line="240" w:lineRule="auto" w:before="0" w:after="120"/>
      </w:pPr>
      <w:r>
        <w:rPr>
          <w:rFonts w:ascii="Calibri" w:hAnsi="Calibri" w:cs="Calibri"/>
          <w:b w:val="0"/>
          <w:i w:val="0"/>
          <w:color w:val="444444"/>
          <w:sz w:val="18"/>
          <w:u w:val="none"/>
        </w:rPr>
        <w:t>Secretaria Municipal de Obras e Serviços Urbanos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814" w:right="850" w:bottom="1247" w:left="850" w:header="17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100" w:lineRule="auto" w:before="80" w:after="20"/>
      <w:pBdr>
        <w:top w:val="single" w:sz="12" w:color="1F3864" w:space="1"/>
      </w:pBdr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c>
        <w:tcPr>
          <w:tcW w:type="dxa" w:w="7200"/>
        </w:tcPr>
        <w:p>
          <w:pPr>
            <w:jc w:val="lef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>SMOSU – Secretaria Municipal de Obras e Serviços Urbanos</w:t>
          </w:r>
        </w:p>
      </w:tc>
      <w:tc>
        <w:tcPr>
          <w:tcW w:type="dxa" w:w="3000"/>
        </w:tcPr>
        <w:p>
          <w:pPr>
            <w:jc w:val="right"/>
            <w:spacing w:line="260" w:lineRule="auto" w:before="8" w:after="0"/>
          </w:pP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Página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t xml:space="preserve"> de </w:t>
          </w:r>
          <w:r>
            <w:rPr>
              <w:rFonts w:ascii="Calibri" w:hAnsi="Calibri" w:cs="Calibri"/>
              <w:b w:val="0"/>
              <w:i w:val="0"/>
              <w:color w:val="666666"/>
              <w:sz w:val="18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5100"/>
      <w:gridCol w:w="5100"/>
    </w:tblGrid>
    <w:tr>
      <w:trPr>
        <w:trHeight w:val="1200"/>
      </w:trPr>
      <w:tc>
        <w:tcPr>
          <w:tcW w:type="dxa" w:w="24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40" w:lineRule="auto" w:before="0" w:after="0"/>
          </w:pPr>
          <w:r>
            <w:drawing>
              <wp:inline xmlns:a="http://schemas.openxmlformats.org/drawingml/2006/main" xmlns:pic="http://schemas.openxmlformats.org/drawingml/2006/picture">
                <wp:extent cx="1188000" cy="472733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_prefeitur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88000" cy="472733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800"/>
          <w:vAlign w:val="center"/>
          <w:tcBorders>
            <w:top w:val="none"/>
            <w:left w:val="none"/>
            <w:bottom w:val="none"/>
            <w:right w:val="none"/>
            <w:insideH w:val="none"/>
            <w:insideV w:val="none"/>
          </w:tcBorders>
        </w:tcPr>
        <w:p>
          <w:pPr>
            <w:jc w:val="left"/>
            <w:spacing w:line="280" w:lineRule="auto" w:before="0" w:after="10"/>
          </w:pPr>
          <w:r>
            <w:rPr>
              <w:rFonts w:ascii="Cambria" w:hAnsi="Cambria" w:cs="Cambria"/>
              <w:b/>
              <w:i w:val="0"/>
              <w:color w:val="1F3864"/>
              <w:sz w:val="28"/>
              <w:u w:val="none"/>
            </w:rPr>
            <w:t>PREFEITURA MUNICIPAL DE OLIVEIRA</w:t>
          </w:r>
        </w:p>
        <w:p>
          <w:pPr>
            <w:jc w:val="left"/>
            <w:spacing w:line="240" w:lineRule="auto" w:before="0" w:after="8"/>
          </w:pPr>
          <w:r>
            <w:rPr>
              <w:rFonts w:ascii="Cambria" w:hAnsi="Cambria" w:cs="Cambria"/>
              <w:b/>
              <w:i w:val="0"/>
              <w:color w:val="1F3864"/>
              <w:sz w:val="16"/>
              <w:u w:val="none"/>
            </w:rPr>
            <w:t>Secretaria Municipal de Obras e Serviços Urbanos</w:t>
          </w:r>
        </w:p>
        <w:p>
          <w:pPr>
            <w:jc w:val="left"/>
            <w:spacing w:line="220" w:lineRule="auto" w:before="0" w:after="10"/>
          </w:pPr>
          <w:r>
            <w:rPr>
              <w:rFonts w:ascii="Calibri" w:hAnsi="Calibri" w:cs="Calibri"/>
              <w:b w:val="0"/>
              <w:i w:val="0"/>
              <w:color w:val="666666"/>
              <w:sz w:val="14"/>
              <w:u w:val="none"/>
            </w:rPr>
            <w:t>Praça XV de Novembro, 127  •  Centro  •  Oliveira/MG  •  (37) 3331-9800</w:t>
          </w:r>
        </w:p>
      </w:tc>
    </w:tr>
  </w:tbl>
  <w:p>
    <w:pPr>
      <w:spacing w:line="20" w:lineRule="auto" w:before="8" w:after="0"/>
      <w:pBdr>
        <w:bottom w:val="single" w:sz="4" w:color="AAAAAA" w:space="1"/>
      </w:pBdr>
    </w:pPr>
  </w:p>
  <w:p>
    <w:pPr>
      <w:spacing w:line="20" w:lineRule="auto" w:before="4" w:after="0"/>
      <w:pBdr>
        <w:bottom w:val="single" w:sz="18" w:color="1F3864" w:space="1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