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3425/2026 de 18 de março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SERGIO ESTEVES VALE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Geraldo Pedro Ferreira, nº 147 - Nazle Simão Raimundo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01.04.057.0236.001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SÉRGIO ESTEVES VALE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Eng. Samuel Dias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12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08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color w:val="008000"/>
                <w:sz w:val="18"/>
                <w:u w:val="none"/>
              </w:rPr>
              <w:t>137,80 m² (exceção da lei)</w:t>
            </w:r>
            <w:r>
              <w:rPr>
                <w:rFonts w:ascii="Calibri" w:hAnsi="Calibri" w:cs="Calibri"/>
                <w:b/>
                <w:i/>
                <w:color w:val="008000"/>
                <w:sz w:val="14"/>
                <w:u w:val="none"/>
              </w:rPr>
              <w:t xml:space="preserve">  (exceção da lei)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71,92 m²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52,19%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0,52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20,00%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ZEIS / ZUR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1360368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jc w:val="left"/>
        <w:spacing w:line="240" w:lineRule="auto" w:before="24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PARTES E RESPONSÁVEIS DO PROCESSO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w="28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Requerente</w:t>
            </w:r>
          </w:p>
        </w:tc>
        <w:tc>
          <w:tcPr>
            <w:tcW w:w="74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SÉRGIO ESTEVES VALE (proprietário)</w:t>
            </w:r>
          </w:p>
        </w:tc>
      </w:tr>
      <w:tr>
        <w:tc>
          <w:tcPr>
            <w:tcW w:w="28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Eng. Samuel Dias — CREA — execução nº 1360368</w:t>
            </w:r>
          </w:p>
        </w:tc>
      </w:tr>
      <w:tr>
        <w:tc>
          <w:tcPr>
            <w:tcW w:w="28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Signatário</w:t>
            </w:r>
          </w:p>
        </w:tc>
        <w:tc>
          <w:tcPr>
            <w:tcW w:w="74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Diego Tarcísio Nunes Vilela — CREA 235.474/D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4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HISTÓRICO CRONOLÓGICO DO PROCESSO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3402"/>
        <w:gridCol w:w="3402"/>
        <w:gridCol w:w="3402"/>
      </w:tblGrid>
      <w:tr>
        <w:tc>
          <w:tcPr>
            <w:tcW w:w="1400" w:type="dxa"/>
            <w:shd w:val="clear" w:color="auto" w:fill="1F3864"/>
            <w:tcMar>
              <w:top w:w="50" w:type="dxa"/>
              <w:bottom w:w="50" w:type="dxa"/>
              <w:left w:w="80" w:type="dxa"/>
              <w:right w:w="40" w:type="dxa"/>
            </w:tcMar>
          </w:tcPr>
          <w:p>
            <w:pPr>
              <w:jc w:val="center"/>
              <w:spacing w:line="200" w:lineRule="auto" w:before="20" w:after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  <w:u w:val="none"/>
              </w:rPr>
              <w:t>DATA</w:t>
            </w:r>
          </w:p>
        </w:tc>
        <w:tc>
          <w:tcPr>
            <w:tcW w:w="6200" w:type="dxa"/>
            <w:shd w:val="clear" w:color="auto" w:fill="1F3864"/>
            <w:tcMar>
              <w:top w:w="50" w:type="dxa"/>
              <w:bottom w:w="50" w:type="dxa"/>
              <w:left w:w="80" w:type="dxa"/>
              <w:right w:w="40" w:type="dxa"/>
            </w:tcMar>
          </w:tcPr>
          <w:p>
            <w:pPr>
              <w:jc w:val="left"/>
              <w:spacing w:line="200" w:lineRule="auto" w:before="20" w:after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  <w:u w:val="none"/>
              </w:rPr>
              <w:t>EVENTO / DESCRIÇÃO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bottom w:w="50" w:type="dxa"/>
              <w:left w:w="80" w:type="dxa"/>
              <w:right w:w="40" w:type="dxa"/>
            </w:tcMar>
          </w:tcPr>
          <w:p>
            <w:pPr>
              <w:jc w:val="left"/>
              <w:spacing w:line="200" w:lineRule="auto" w:before="20" w:after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  <w:u w:val="none"/>
              </w:rPr>
              <w:t>REFERÊNCIA / AGENTES</w:t>
            </w:r>
          </w:p>
        </w:tc>
      </w:tr>
      <w:tr>
        <w:tc>
          <w:tcPr>
            <w:tcW w:w="14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08/08/2022</w:t>
            </w:r>
          </w:p>
        </w:tc>
        <w:tc>
          <w:tcPr>
            <w:tcW w:w="62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Emissão do Alvará de Construção nº 333/2022 para área de 48,00m² em nome de Livio Mateus Viana</w:t>
            </w:r>
          </w:p>
        </w:tc>
        <w:tc>
          <w:tcPr>
            <w:tcW w:w="26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Alvará 333/2022</w:t>
            </w:r>
          </w:p>
        </w:tc>
      </w:tr>
      <w:tr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08/11/2022</w:t>
            </w:r>
          </w:p>
        </w:tc>
        <w:tc>
          <w:tcPr>
            <w:tcW w:w="62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Emissão de Título de Legitimação Fundiária para Sérgio Esteves Vale (averbado em 20/12/2022)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Matrícula 23.199</w:t>
            </w:r>
          </w:p>
        </w:tc>
      </w:tr>
      <w:tr>
        <w:tc>
          <w:tcPr>
            <w:tcW w:w="14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18/03/2026</w:t>
            </w:r>
          </w:p>
        </w:tc>
        <w:tc>
          <w:tcPr>
            <w:tcW w:w="62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Abertura do processo 3425/2026 solicitando Carta de Habite-se</w:t>
            </w:r>
          </w:p>
        </w:tc>
        <w:tc>
          <w:tcPr>
            <w:tcW w:w="26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Processo 3425/2026</w:t>
            </w:r>
          </w:p>
        </w:tc>
      </w:tr>
      <w:tr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19/03/2026</w:t>
            </w:r>
          </w:p>
        </w:tc>
        <w:tc>
          <w:tcPr>
            <w:tcW w:w="62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Parecer Fiscal constata conclusão da obra em habitabilidade e inclusão de área não licenciada na garagem (23,92m²)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Parecer Fiscal</w:t>
            </w:r>
          </w:p>
        </w:tc>
      </w:tr>
      <w:tr>
        <w:tc>
          <w:tcPr>
            <w:tcW w:w="14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30/04/2026</w:t>
            </w:r>
          </w:p>
        </w:tc>
        <w:tc>
          <w:tcPr>
            <w:tcW w:w="62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Comprovação de pagamento das taxas de aprovação e da multa correspondente à área excedente</w:t>
            </w:r>
          </w:p>
        </w:tc>
        <w:tc>
          <w:tcPr>
            <w:tcW w:w="26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DAMs quitados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SÉRGIO ESTEVES VALE apresentou junto à Secretaria Municipal de Obras e Serviços Urbanos (SMOSU) processo requerendo Carta de Habite-se para imóvel situado na Rua Geraldo Pedro Ferreira, nº 147, Bairro Nazle Simão Raimundo, Oliveira/MG, Inscrição Municipal 01.04.057.0236.001;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imóvel obteve originalmente o Alvará de Construção nº 333/2022, tendo sua propriedade posteriormente transferida ao atual requerente via Legitimação Fundiária (AV-3 da Matrícula nº 23.199, com área averbada de 40,25m²);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fiscalização in loco, por meio de Parecer Fiscal em 19 de março de 2026, constatou a conclusão das obras e a inclusão de 31,67m² de área não aprovada originalmente, totalizando 71,92m² de área construída;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procedeu com o recolhimento das multas e taxas incidentes sobre a área excedente em 30 de abril de 2026, conforme comprovantes bancários anexos ao processo;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Engenheiro Civil Samuel Dias (CREA 201767/D) firmou ART de execução nº 1360368 referente à respectiva edificação.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MEMÓRIA DE CÁLCULO E ÍNDICES URBANÍSTICOS</w:t>
      </w:r>
    </w:p>
    <w:tbl>
      <w:tblPr>
        <w:jc w:val="center"/>
        <w:tblLook w:firstColumn="1" w:firstRow="1" w:lastColumn="0" w:lastRow="0" w:noHBand="0" w:noVBand="1" w:val="04A0"/>
        <w:tblW w:w="10200" w:type="dxa"/>
        <w:tblBorders>
          <w:top w:val="single" w:sz="4" w:color="B0BAD0" w:space="0"/>
          <w:bottom w:val="single" w:sz="4" w:color="B0BAD0" w:space="0"/>
          <w:right w:val="single" w:sz="4" w:color="B0BAD0" w:space="0"/>
          <w:left w:val="single" w:sz="8" w:color="B0BAD0" w:space="0"/>
        </w:tblBorders>
      </w:tblPr>
      <w:tblGrid>
        <w:gridCol w:w="10206"/>
      </w:tblGrid>
      <w:tr>
        <w:tc>
          <w:tcPr>
            <w:tcW w:type="dxa" w:w="10206"/>
            <w:shd w:fill="EFF2F8" w:val="clear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Área irregular de 31,67m² → faixa ≤ 60m² (Art. 79, §1º, inciso I, Lei 1.544/1986) → alíquota 1% × URM 2026 (R$ 102,42) → cálculo de R$ 32,43, com recolhimento comprovado nos autos via DAM no valor de R$ 32,30. Taxa de Permeabilidade (20,00%) e Taxa de Ocupação (52,19%) dentro dos limites aplicáveis na zona — Art. 39 da LC 267/2019 não incide.</w:t>
            </w:r>
          </w:p>
        </w:tc>
      </w:tr>
    </w:tbl>
    <w:p>
      <w:pPr>
        <w:spacing w:line="80" w:lineRule="auto" w:before="0" w:after="0"/>
      </w:pPr>
    </w:p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DA ANÁLISE LEGAL E TÉCNICA</w:t>
      </w:r>
    </w:p>
    <w:p>
      <w:pPr>
        <w:ind w:firstLine="709"/>
        <w:jc w:val="both"/>
        <w:spacing w:line="276" w:lineRule="auto" w:before="8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presente análise técnica pautou-se primordialmente no </w:t>
      </w:r>
      <w:r>
        <w:rPr>
          <w:rFonts w:ascii="Calibri" w:hAnsi="Calibri" w:cs="Calibri"/>
          <w:b/>
          <w:i w:val="0"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bem como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1.544/1986) e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267/2019).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/>
          <w:i w:val="0"/>
          <w:sz w:val="22"/>
          <w:u w:val="none"/>
        </w:rPr>
        <w:t>Art. 79 da Lei Municipal nº 1.544/1986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— Código de Obras de Oliveira/MG, que estabelece multa para construção executada sem licença aprovada pela prefeitura, aplicável à área excedente de 31,67m² e devidamente quitada pelo interessado, não restando infrações urbanísticas relacionadas ao </w:t>
      </w:r>
      <w:r>
        <w:rPr>
          <w:rFonts w:ascii="Calibri" w:hAnsi="Calibri" w:cs="Calibri"/>
          <w:b/>
          <w:i w:val="0"/>
          <w:sz w:val="22"/>
          <w:u w:val="none"/>
        </w:rPr>
        <w:t>Art. 39 da LC 267/2019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(Taxa de Permeabilidade de 20,00% e Taxa de Ocupação de 52,19% rigorosamente dentro dos limites legais).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Defiro o pedido, atestando a regularidade da edificação e a quitação integral das multas cabíveis, e determino a emissão da Carta de Habite-se para a área total de 71,92m² e da Certidão de Averbação de Área para os 31,67m² excedentes.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Parecer Técnico (SMOSU)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Documento atestando a viabilidade do Habite-se e o devido recolhimento de multas de regularização da área excedente.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Carta de Habite-se — 71,92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 xml:space="preserve">Habite-se emitido para a área total de 71,92m², contemplando a edificação aprovada pelo Alvará nº 333/2022 e a inclusão de área de 31,67m², regularizada mediante recolhimento de multa conforme </w:t>
      </w:r>
      <w:r>
        <w:rPr>
          <w:rFonts w:ascii="Calibri" w:hAnsi="Calibri" w:cs="Calibri"/>
          <w:b/>
          <w:i/>
          <w:color w:val="444444"/>
          <w:sz w:val="22"/>
          <w:u w:val="none"/>
        </w:rPr>
        <w:t>Art. 79 da Lei 1.544 de 1986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 de Área — 31,67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Averbação de acréscimo de área correspondente à garagem coberta e adequações constatadas in loco e regularizadas nos termos da lei.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