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4044/2026 de 31 de março de 2026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Certidões de Número para fins comerciais (Lojas 1, 2 e 3)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DANIEL RESENDE CAMPOS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40" w:lineRule="auto" w:before="28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DADOS TÉCNICOS DO PROJETO (Ref. Decreto nº 4.149/2019)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2551"/>
        <w:gridCol w:w="2551"/>
        <w:gridCol w:w="2551"/>
        <w:gridCol w:w="2551"/>
      </w:tblGrid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Endereço: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Avenida das Laranjeiras, nº 550 - [Bairro a confirmar]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Inscrição Mun.: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01.04.020.0162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Proprietário: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DANIEL RESENDE CAMPOS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Resp. Técnico: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Lote: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12</w:t>
            </w: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Quadra: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07</w:t>
            </w: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Terreno: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Área Total: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Taxa Ocupação: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Coef. Aprov.: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Permeabilidade: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Pavimentos: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Vagas Garagem: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Zona de Uso: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  <w:tr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ART/RRT:</w:t>
            </w:r>
          </w:p>
        </w:tc>
        <w:tc>
          <w:tcPr>
            <w:tcW w:type="dxa" w:w="35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3500" w:type="dxa"/>
          </w:tcPr>
          <w:p>
            <w:pPr>
              <w:jc w:val="left"/>
              <w:spacing w:line="220" w:lineRule="auto" w:before="25" w:after="25"/>
            </w:pPr>
          </w:p>
        </w:tc>
        <w:tc>
          <w:tcPr>
            <w:tcW w:type="dxa" w:w="20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000" w:type="dxa"/>
          </w:tcPr>
          <w:p>
            <w:pPr>
              <w:jc w:val="right"/>
              <w:spacing w:line="220" w:lineRule="auto" w:before="25" w:after="25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Multa Específica:</w:t>
            </w:r>
          </w:p>
        </w:tc>
        <w:tc>
          <w:tcPr>
            <w:tcW w:type="dxa" w:w="2700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2700" w:type="dxa"/>
          </w:tcPr>
          <w:p>
            <w:pPr>
              <w:jc w:val="left"/>
              <w:spacing w:line="220" w:lineRule="auto" w:before="25" w:after="25"/>
            </w:pPr>
          </w:p>
        </w:tc>
      </w:tr>
    </w:tbl>
    <w:p>
      <w:pPr>
        <w:spacing w:line="60" w:lineRule="auto" w:before="80" w:after="60"/>
        <w:pBdr>
          <w:bottom w:val="single" w:sz="4" w:color="1F3864"/>
        </w:pBdr>
      </w:pPr>
    </w:p>
    <w:p>
      <w:pPr>
        <w:jc w:val="left"/>
        <w:spacing w:line="240" w:lineRule="auto" w:before="240" w:after="60"/>
      </w:pPr>
      <w:r>
        <w:rPr>
          <w:rFonts w:ascii="Calibri" w:hAnsi="Calibri" w:cs="Calibri"/>
          <w:b/>
          <w:i w:val="0"/>
          <w:color w:val="1F3864"/>
          <w:sz w:val="18"/>
          <w:u w:val="none"/>
        </w:rPr>
        <w:t>PARTES E RESPONSÁVEIS DO PROCESSO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w="2800" w:type="dxa"/>
            <w:shd w:val="clear" w:color="auto" w:fill="EEF2FB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/>
                <w:i w:val="0"/>
                <w:color w:val="1F3864"/>
                <w:sz w:val="18"/>
                <w:u w:val="none"/>
              </w:rPr>
              <w:t>Requerente</w:t>
            </w:r>
          </w:p>
        </w:tc>
        <w:tc>
          <w:tcPr>
            <w:tcW w:w="7400" w:type="dxa"/>
            <w:shd w:val="clear" w:color="auto" w:fill="EEF2FB"/>
            <w:tcMar>
              <w:top w:w="40" w:type="dxa"/>
              <w:bottom w:w="40" w:type="dxa"/>
              <w:left w:w="80" w:type="dxa"/>
              <w:right w:w="40" w:type="dxa"/>
            </w:tcMar>
          </w:tcPr>
          <w:p>
            <w:pPr>
              <w:jc w:val="left"/>
              <w:spacing w:line="220" w:lineRule="auto" w:before="20" w:after="2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DANIEL RESENDE CAMPOS (Proprietário)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ind w:firstLine="709"/>
        <w:jc w:val="both"/>
        <w:spacing w:line="276" w:lineRule="auto" w:before="300" w:after="120"/>
      </w:pPr>
      <w:r>
        <w:rPr>
          <w:rFonts w:ascii="Calibri" w:hAnsi="Calibri" w:cs="Calibri"/>
          <w:b w:val="0"/>
          <w:i w:val="0"/>
          <w:sz w:val="22"/>
          <w:u w:val="none"/>
        </w:rPr>
        <w:t>Trata-se de solicitação de DANIEL RESENDE CAMPOS para emissão de Certidões de Número para fins comerciais referentes às Lojas 1, 2 e 3 da edificação situada na Avenida das Laranjeiras, nº 550, visando a individualização de ligações junto ao SAAE e CEMIG.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comprovou a titularidade e regularidade do imóvel através da Matrícula de Inteiro Teor nº 42.041 do SRI e Inscrição Cadastral nº 01.04.020.0162.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edificação possui histórico de regularidade técnica, amparada pelo Alvará de Construção nº 168/2023 e pela Carta de Habite-se nº 081/2025, com área total de 1.712,96m².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Fiscalização de Obras, em vistoria realizada no dia 05/05/2026, atestou que a obra está em conformidade com o projeto aprovado e confirmou a divisão física das lojas mencionadas.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numeração individualizada é requisito para a viabilização de infraestrutura básica (água e energia) de forma independente para as unidades comerciais.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MEMÓRIA DE CÁLCULO E ÍNDICES URBANÍSTICOS</w:t>
      </w:r>
    </w:p>
    <w:tbl>
      <w:tblPr>
        <w:jc w:val="center"/>
        <w:tblLook w:firstColumn="1" w:firstRow="1" w:lastColumn="0" w:lastRow="0" w:noHBand="0" w:noVBand="1" w:val="04A0"/>
        <w:tblW w:w="10200" w:type="dxa"/>
        <w:tblBorders>
          <w:top w:val="single" w:sz="4" w:color="B0BAD0" w:space="0"/>
          <w:bottom w:val="single" w:sz="4" w:color="B0BAD0" w:space="0"/>
          <w:right w:val="single" w:sz="4" w:color="B0BAD0" w:space="0"/>
          <w:left w:val="single" w:sz="8" w:color="B0BAD0" w:space="0"/>
        </w:tblBorders>
      </w:tblPr>
      <w:tblGrid>
        <w:gridCol w:w="10206"/>
      </w:tblGrid>
      <w:tr>
        <w:tc>
          <w:tcPr>
            <w:tcW w:type="dxa" w:w="10206"/>
            <w:shd w:fill="EFF2F8" w:val="clear"/>
            <w:tcMar>
              <w:top w:w="100" w:type="dxa"/>
              <w:bottom w:w="100" w:type="dxa"/>
              <w:left w:w="150" w:type="dxa"/>
              <w:right w:w="100" w:type="dxa"/>
            </w:tcMar>
          </w:tcPr>
          <w:p>
            <w:pPr>
              <w:jc w:val="left"/>
              <w:spacing w:line="276" w:lineRule="auto" w:before="0" w:after="0"/>
            </w:pPr>
            <w:r>
              <w:rPr>
                <w:rFonts w:ascii="Calibri" w:hAnsi="Calibri" w:cs="Calibri"/>
                <w:b w:val="0"/>
                <w:i w:val="0"/>
                <w:sz w:val="18"/>
                <w:u w:val="none"/>
              </w:rPr>
              <w:t>Área total construída da edificação: 1.712,96m². O presente parecer autoriza a individualização de 03 (três) unidades comerciais (Loja 1, Loja 2 e Loja 3), cada uma com área de 90,45m², totalizando 271,35m² de área comercial desmembrada para fins de numeração e ligações de concessionárias.</w:t>
            </w:r>
          </w:p>
        </w:tc>
      </w:tr>
    </w:tbl>
    <w:p>
      <w:pPr>
        <w:spacing w:line="80" w:lineRule="auto" w:before="0" w:after="0"/>
      </w:pPr>
    </w:p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DA ANÁLISE LEGAL E TÉCNICA</w:t>
      </w:r>
    </w:p>
    <w:p>
      <w:pPr>
        <w:ind w:firstLine="709"/>
        <w:jc w:val="both"/>
        <w:spacing w:line="276" w:lineRule="auto" w:before="8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A presente análise técnica pautou-se primordialmente no </w:t>
      </w:r>
      <w:r>
        <w:rPr>
          <w:rFonts w:ascii="Calibri" w:hAnsi="Calibri" w:cs="Calibri"/>
          <w:b/>
          <w:i w:val="0"/>
          <w:sz w:val="22"/>
          <w:u w:val="none"/>
        </w:rPr>
        <w:t>Decreto Municipal nº 4.149/2019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, bem como no </w:t>
      </w:r>
      <w:r>
        <w:rPr>
          <w:rFonts w:ascii="Calibri" w:hAnsi="Calibri" w:cs="Calibri"/>
          <w:b/>
          <w:i w:val="0"/>
          <w:sz w:val="22"/>
          <w:u w:val="none"/>
        </w:rPr>
        <w:t>Código de Obras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nº 1.544/1986) e na </w:t>
      </w:r>
      <w:r>
        <w:rPr>
          <w:rFonts w:ascii="Calibri" w:hAnsi="Calibri" w:cs="Calibri"/>
          <w:b/>
          <w:i w:val="0"/>
          <w:sz w:val="22"/>
          <w:u w:val="none"/>
        </w:rPr>
        <w:t>LUOS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(Lei Complementar nº 267/2019).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/>
          <w:sz w:val="22"/>
          <w:u w:val="none"/>
        </w:rPr>
        <w:t>Lei Municipal nº 1.544/86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(Código de Obras): estabelece as normas para licenciamento e numeração predial.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▪ </w:t>
      </w:r>
      <w:r>
        <w:rPr>
          <w:rFonts w:ascii="Calibri" w:hAnsi="Calibri" w:cs="Calibri"/>
          <w:b w:val="0"/>
          <w:i/>
          <w:sz w:val="22"/>
          <w:u w:val="none"/>
        </w:rPr>
        <w:t>Lei Complementar nº 267/2019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(Uso e Ocupação do Solo): parâmetros para atividades comerciais em zona urbana.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 xml:space="preserve">Diante da regularidade documental e da constatação fiscal in loco, profiro parecer técnico </w:t>
      </w:r>
      <w:r>
        <w:rPr>
          <w:rFonts w:ascii="Calibri" w:hAnsi="Calibri" w:cs="Calibri"/>
          <w:b/>
          <w:i w:val="0"/>
          <w:sz w:val="22"/>
          <w:u w:val="none"/>
        </w:rPr>
        <w:t>FAVORÁVEL</w:t>
      </w:r>
      <w:r>
        <w:rPr>
          <w:rFonts w:ascii="Calibri" w:hAnsi="Calibri" w:cs="Calibri"/>
          <w:b w:val="0"/>
          <w:i w:val="0"/>
          <w:sz w:val="22"/>
          <w:u w:val="none"/>
        </w:rPr>
        <w:t xml:space="preserve"> à emissão das certidões de número comercial para as Lojas 1, 2 e 3, conforme especificações técnicas.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 Comercial - Loja 1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Área de 90,45m², Lote 12, Quadra 07. Finalidade: SAAE/CEMIG.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 Comercial - Loja 2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Área de 90,45m², Lote 12, Quadra 07. Finalidade: SAAE/CEMIG.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Certidão De Número Comercial - Loja 3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Área de 90,45m², Lote 12, Quadra 07. Finalidade: SAAE/CEMIG.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