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COMUNICADO DE PENDÊNCIA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9012/2026 de 06/05/2026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Pendência Documental — Alvará de Construção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Construtora Horizonte Ltda.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ind w:firstLine="709"/>
        <w:jc w:val="both"/>
        <w:spacing w:line="276" w:lineRule="auto" w:before="24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do Processo Administrativo nº 9012/2026, onde a requerente CONSTRUTORA HORIZONTE LTDA. solicita aprovação de projeto comercial na Rua XV de Novembro, Bairro Santa Luzia, verificou as seguintes pendências documentais que impedem a análise técnica conclusiva.</w:t>
      </w:r>
    </w:p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10200" w:type="dxa"/>
        <w:tblBorders>
          <w:top w:val="single" w:sz="4" w:color="F2C94C" w:space="0"/>
          <w:bottom w:val="single" w:sz="4" w:color="F2C94C" w:space="0"/>
          <w:right w:val="single" w:sz="4" w:color="F2C94C" w:space="0"/>
          <w:left w:val="single" w:sz="18" w:color="F2C94C" w:space="0"/>
        </w:tblBorders>
      </w:tblPr>
      <w:tblGrid>
        <w:gridCol w:w="10206"/>
      </w:tblGrid>
      <w:tr>
        <w:tc>
          <w:tcPr>
            <w:tcW w:type="dxa" w:w="10206"/>
            <w:shd w:fill="FFFDF2" w:val="clear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pPr>
              <w:jc w:val="left"/>
              <w:spacing w:line="260" w:lineRule="auto" w:before="60" w:after="60"/>
            </w:pPr>
            <w:r>
              <w:rPr>
                <w:rFonts w:ascii="Cambria" w:hAnsi="Cambria" w:cs="Cambria"/>
                <w:b/>
                <w:i w:val="0"/>
                <w:color w:val="996515"/>
                <w:sz w:val="22"/>
                <w:u w:val="none"/>
              </w:rPr>
              <w:t>⚠  DOCUMENTOS PENDENTES — ANÁLISE SUSPENSA</w:t>
            </w:r>
          </w:p>
          <w:p>
            <w:pPr>
              <w:jc w:val="left"/>
              <w:spacing w:line="240" w:lineRule="auto" w:before="0" w:after="80"/>
            </w:pPr>
            <w:r>
              <w:rPr>
                <w:rFonts w:ascii="Calibri" w:hAnsi="Calibri" w:cs="Calibri"/>
                <w:b w:val="0"/>
                <w:i/>
                <w:color w:val="996515"/>
                <w:sz w:val="20"/>
                <w:u w:val="none"/>
              </w:rPr>
              <w:t>A análise técnica não pôde ser iniciada. Os documentos abaixo são imprescindíveis e devem ser apresentados para o prosseguimento do processo: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F2C94C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ART/RRT de Projeto Arquitetônico ausente. Obrigatória para edificações comerciais conforme Art. 5º, IV do Decreto nº 4.149/2019. Prazo para regularização: 15 dias corridos a contar desta notificação.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F2C94C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Certidão de Inteiro Teor da Matrícula do Imóvel com validade vencida (emitida há mais de 90 dias). Necessário retirar nova certidão atualizada. Prazo: 15 dias corridos.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F2C94C"/>
                <w:sz w:val="20"/>
                <w:u w:val="none"/>
              </w:rPr>
              <w:t xml:space="preserve">  ✗  </w:t>
            </w:r>
            <w:r>
              <w:rPr>
                <w:rFonts w:ascii="Calibri" w:hAnsi="Calibri" w:cs="Calibri"/>
                <w:b w:val="0"/>
                <w:i w:val="0"/>
                <w:color w:val="5C4A21"/>
                <w:sz w:val="20"/>
                <w:u w:val="none"/>
              </w:rPr>
              <w:t>Memorial Descritivo assinado pelo Responsável Técnico ausente. Exigido pelo Art. 6º, II do Decreto nº 4.149/2019. Prazo: 15 dias corridos.</w:t>
            </w:r>
          </w:p>
        </w:tc>
      </w:tr>
    </w:tbl>
    <w:p>
      <w:pPr>
        <w:spacing w:line="80" w:lineRule="auto" w:before="0" w:after="0"/>
      </w:pPr>
    </w:p>
    <w:tbl>
      <w:tblPr>
        <w:jc w:val="center"/>
        <w:tblLook w:firstColumn="1" w:firstRow="1" w:lastColumn="0" w:lastRow="0" w:noHBand="0" w:noVBand="1" w:val="04A0"/>
        <w:tblW w:w="10200" w:type="dxa"/>
        <w:tblBorders>
          <w:top w:val="single" w:sz="4" w:color="81C784" w:space="0"/>
          <w:bottom w:val="single" w:sz="4" w:color="81C784" w:space="0"/>
          <w:right w:val="single" w:sz="4" w:color="81C784" w:space="0"/>
          <w:left w:val="single" w:sz="18" w:color="81C784" w:space="0"/>
        </w:tblBorders>
      </w:tblPr>
      <w:tblGrid>
        <w:gridCol w:w="10206"/>
      </w:tblGrid>
      <w:tr>
        <w:tc>
          <w:tcPr>
            <w:tcW w:type="dxa" w:w="10206"/>
            <w:shd w:fill="F5FCF5" w:val="clear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pPr>
              <w:jc w:val="left"/>
              <w:spacing w:line="260" w:lineRule="auto" w:before="60" w:after="40"/>
            </w:pPr>
            <w:r>
              <w:rPr>
                <w:rFonts w:ascii="Cambria" w:hAnsi="Cambria" w:cs="Cambria"/>
                <w:b/>
                <w:i w:val="0"/>
                <w:color w:val="2E7D32"/>
                <w:sz w:val="22"/>
                <w:u w:val="none"/>
              </w:rPr>
              <w:t>✔  COMO REGULARIZAR E RETOMAR O PROCESSO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1.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Reúna todos os documentos listados acima em sua versão original ou digitalizada com legibilidade plena.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2.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Dirija-se ao balcão do protocolo da Prefeitura Municipal de Oliveira ou acesse o portal digital (Atende.Net) para acostar os documentos ao processo.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3.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Após o recebimento e verificação documental, a análise técnica será reiniciada automaticamente, sem necessidade de novo requerimento.</w:t>
            </w:r>
          </w:p>
          <w:p>
            <w:pPr>
              <w:jc w:val="left"/>
              <w:spacing w:line="260" w:lineRule="auto" w:before="20" w:after="20"/>
            </w:pPr>
            <w:r>
              <w:rPr>
                <w:rFonts w:ascii="Calibri" w:hAnsi="Calibri" w:cs="Calibri"/>
                <w:b/>
                <w:i w:val="0"/>
                <w:color w:val="2E7D32"/>
                <w:sz w:val="20"/>
                <w:u w:val="none"/>
              </w:rPr>
              <w:t xml:space="preserve">  4.  </w:t>
            </w:r>
            <w:r>
              <w:rPr>
                <w:rFonts w:ascii="Calibri" w:hAnsi="Calibri" w:cs="Calibri"/>
                <w:b w:val="0"/>
                <w:i w:val="0"/>
                <w:color w:val="264D26"/>
                <w:sz w:val="20"/>
                <w:u w:val="none"/>
              </w:rPr>
              <w:t>Em caso de dúvidas, entre em contato com o Setor Técnico da SMOSU (Secretaria Municipal de Obras e Serviços Urbanos).</w:t>
            </w:r>
          </w:p>
        </w:tc>
      </w:tr>
    </w:tbl>
    <w:p>
      <w:pPr>
        <w:spacing w:line="120" w:lineRule="auto" w:before="0" w:after="0"/>
      </w:pPr>
    </w:p>
    <w:p>
      <w:pPr>
        <w:ind w:firstLine="709"/>
        <w:jc w:val="both"/>
        <w:spacing w:line="276" w:lineRule="auto" w:before="12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deverá apresentar os documentos acima no balcão da SMOSU ou via protocolo digital, em até 15 dias corridos desta notificação. O não atendimento no prazo ensejará o arquivamento do processo (Art. 8º, §2º, Dec. 4.149/2019), podendo ser reaberto mediante novo protocolo.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