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3425/2026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Sergio Esteves Vale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imóvel possui Alvará de Construção nº [numero_alvara] em nome do requerente, Sergio Esteves Vale, referente ao projeto aprovado neste processo, na Rua Teste, 100, nº [numero_porta];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requerente apresentou como título de propriedade a certidão de matrícula do Serviço Registral de Imóveis (SRI), em seu nome, como proprietário, registrada sob Matrícula [matricula_sri], com Inscrição Cadastral [inscricao_municipal].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poderá ser emitido o Habite-se referente à área total do imóvel de [area_total_construida] e a Certidão de Averbação.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Área Total De [Area Total Construida]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Averbação Cartorária: Este Habite-se não exime a aferição da obra no sistema SERO da RFB para emissão da CND, documento obrigatório para averbação no Cartório de Registro de Imóveis (Lei 14.382/2022).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Valor total do imóvel conforme Laudo de Avaliação da Comissão de Avaliação da Prefeitura Municipal de Oliveira.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