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COMUNICADO DE PENDÊNCIA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000/2026  — 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de Multiplas Pecas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da Fase 3B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F2C94C" w:space="0"/>
          <w:bottom w:val="single" w:sz="4" w:color="F2C94C" w:space="0"/>
          <w:right w:val="single" w:sz="4" w:color="F2C94C" w:space="0"/>
          <w:left w:val="single" w:sz="18" w:color="F2C94C" w:space="0"/>
        </w:tblBorders>
      </w:tblPr>
      <w:tblGrid>
        <w:gridCol w:w="10206"/>
      </w:tblGrid>
      <w:tr>
        <w:tc>
          <w:tcPr>
            <w:tcW w:type="dxa" w:w="10206"/>
            <w:shd w:fill="FFFDF2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60"/>
            </w:pPr>
            <w:r>
              <w:rPr>
                <w:rFonts w:ascii="Cambria" w:hAnsi="Cambria" w:cs="Cambria"/>
                <w:b/>
                <w:i w:val="0"/>
                <w:color w:val="996515"/>
                <w:sz w:val="22"/>
                <w:u w:val="none"/>
              </w:rPr>
              <w:t>⚠  DOCUMENTOS PENDENTES — ANÁLISE SUSPENSA</w:t>
            </w:r>
          </w:p>
          <w:p>
            <w:pPr>
              <w:jc w:val="left"/>
              <w:spacing w:line="240" w:lineRule="auto" w:before="0" w:after="80"/>
            </w:pPr>
            <w:r>
              <w:rPr>
                <w:rFonts w:ascii="Calibri" w:hAnsi="Calibri" w:cs="Calibri"/>
                <w:b w:val="0"/>
                <w:i/>
                <w:color w:val="735C1F"/>
                <w:sz w:val="20"/>
                <w:u w:val="none"/>
              </w:rPr>
              <w:t>A análise técnica não pôde ser iniciada. Os documentos abaixo são imprescindíveis e devem ser apresentados para o prosseguimento do processo: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E67E22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[PREENCHER: considerandos]</w:t>
            </w:r>
          </w:p>
        </w:tc>
      </w:tr>
    </w:tbl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81C784" w:space="0"/>
          <w:bottom w:val="single" w:sz="4" w:color="81C784" w:space="0"/>
          <w:right w:val="single" w:sz="4" w:color="81C784" w:space="0"/>
          <w:left w:val="single" w:sz="18" w:color="81C784" w:space="0"/>
        </w:tblBorders>
      </w:tblPr>
      <w:tblGrid>
        <w:gridCol w:w="10206"/>
      </w:tblGrid>
      <w:tr>
        <w:tc>
          <w:tcPr>
            <w:tcW w:type="dxa" w:w="10206"/>
            <w:shd w:fill="F5FCF5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40"/>
            </w:pPr>
            <w:r>
              <w:rPr>
                <w:rFonts w:ascii="Cambria" w:hAnsi="Cambria" w:cs="Cambria"/>
                <w:b/>
                <w:i w:val="0"/>
                <w:color w:val="2E7D32"/>
                <w:sz w:val="22"/>
                <w:u w:val="none"/>
              </w:rPr>
              <w:t>✔  COMO REGULARIZAR E RETOMAR O PROCESSO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1.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Reúna todos os documentos listados acima em sua versão original ou digitalizada com legibilidade plena.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2.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Dirija-se ao balcão do protocolo da Prefeitura Municipal de Oliveira ou acesse o portal digital (Atende.Net) para acostar os documentos ao processo.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3.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Após o recebimento e verificação documental, a análise técnica será reiniciada automaticamente, sem necessidade de novo requerimento.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4.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Em caso de dúvidas, entre em contato com o Setor Técnico da SMOSU (Secretaria Municipal de Obras e Serviços Urbanos).</w:t>
            </w:r>
          </w:p>
        </w:tc>
      </w:tr>
    </w:tbl>
    <w:p>
      <w:pPr>
        <w:spacing w:line="120" w:lineRule="auto" w:before="0" w:after="0"/>
      </w:pP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30 de abril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