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1270/2026  —  03 de fevereiro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Regularização As-Built, Habite-se, Decadência, Averbação e Localização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BEATRIZ ALVES PINTO RESENDE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Rua Maria do Carmo Lobato, nº 67 - Oscar Faria Lobato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01.05.092.0152.001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Beatriz Alves Pinto Resende e outros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Desenhista: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PEDRO HENRIQUE SILVA BARROS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0015-0014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00003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330,00m²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139,76m²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42,36%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0,43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41,88%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PEDRO HENRIQUE SILVA BARROS</w:t>
            </w: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Trata-se de processo administrativo interposto por </w:t>
      </w:r>
      <w:r>
        <w:rPr>
          <w:rFonts w:ascii="Calibri" w:hAnsi="Calibri" w:cs="Calibri"/>
          <w:b/>
          <w:i w:val="0"/>
          <w:sz w:val="22"/>
          <w:u w:val="none"/>
        </w:rPr>
        <w:t>BEATRIZ ALVES PINTO RESENDE</w:t>
      </w:r>
      <w:r>
        <w:rPr>
          <w:rFonts w:ascii="Calibri" w:hAnsi="Calibri" w:cs="Calibri"/>
          <w:b w:val="0"/>
          <w:i w:val="0"/>
          <w:sz w:val="22"/>
          <w:u w:val="none"/>
        </w:rPr>
        <w:t>, objetivando a regularização de edificação existente (As-Built), englobando a emissão conjunta de Alvará de Regularização, Carta de Habite-se, Certidão de Decadência, Averbação de Acréscimo e Certidão de Localização para o imóvel matriculado sob o nº 057166.2.0007697-57, situado na Rua Maria do Carmo Lobato, nº 67, Bairro Oscar Faria Lobato.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</w:t>
      </w:r>
      <w:r>
        <w:rPr>
          <w:rFonts w:ascii="Calibri" w:hAnsi="Calibri" w:cs="Calibri"/>
          <w:b/>
          <w:i w:val="0"/>
          <w:sz w:val="22"/>
          <w:u w:val="none"/>
        </w:rPr>
        <w:t>Matrícula nº 057166.2.0007697-57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(antiga Matrícula 7697) atesta a propriedade do terreno de </w:t>
      </w:r>
      <w:r>
        <w:rPr>
          <w:rFonts w:ascii="Calibri" w:hAnsi="Calibri" w:cs="Calibri"/>
          <w:b/>
          <w:i w:val="0"/>
          <w:sz w:val="22"/>
          <w:u w:val="none"/>
        </w:rPr>
        <w:t>330,00m²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com registro originário (AV-2 de 08/08/1983) de uma edificação de </w:t>
      </w:r>
      <w:r>
        <w:rPr>
          <w:rFonts w:ascii="Calibri" w:hAnsi="Calibri" w:cs="Calibri"/>
          <w:b/>
          <w:i w:val="0"/>
          <w:sz w:val="22"/>
          <w:u w:val="none"/>
        </w:rPr>
        <w:t>48,00m²</w:t>
      </w:r>
      <w:r>
        <w:rPr>
          <w:rFonts w:ascii="Calibri" w:hAnsi="Calibri" w:cs="Calibri"/>
          <w:b w:val="0"/>
          <w:i w:val="0"/>
          <w:sz w:val="22"/>
          <w:u w:val="none"/>
        </w:rPr>
        <w:t>, localizada originalmente no logradouro então denominado Rua Ormenzinda Silvino Lobato;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o levantamento técnico As-Built e a respectiva peça gráfica apresentados pelo Responsável Técnico e Desenhista </w:t>
      </w:r>
      <w:r>
        <w:rPr>
          <w:rFonts w:ascii="Calibri" w:hAnsi="Calibri" w:cs="Calibri"/>
          <w:b/>
          <w:i w:val="0"/>
          <w:sz w:val="22"/>
          <w:u w:val="none"/>
        </w:rPr>
        <w:t>Pedro Henrique Silva Barros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(CREA/MG 224.769/D), amparado pela </w:t>
      </w:r>
      <w:r>
        <w:rPr>
          <w:rFonts w:ascii="Calibri" w:hAnsi="Calibri" w:cs="Calibri"/>
          <w:b/>
          <w:i w:val="0"/>
          <w:sz w:val="22"/>
          <w:u w:val="none"/>
        </w:rPr>
        <w:t>ART nº MG20261415546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atestou a existência de uma área total construída de </w:t>
      </w:r>
      <w:r>
        <w:rPr>
          <w:rFonts w:ascii="Calibri" w:hAnsi="Calibri" w:cs="Calibri"/>
          <w:b/>
          <w:i w:val="0"/>
          <w:sz w:val="22"/>
          <w:u w:val="none"/>
        </w:rPr>
        <w:t>139,76m²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gerando um acréscimo a ser regularizado de </w:t>
      </w:r>
      <w:r>
        <w:rPr>
          <w:rFonts w:ascii="Calibri" w:hAnsi="Calibri" w:cs="Calibri"/>
          <w:b/>
          <w:i w:val="0"/>
          <w:sz w:val="22"/>
          <w:u w:val="none"/>
        </w:rPr>
        <w:t>91,76m²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em relação à construção originária averbada;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os pareceres fiscais in loco exarados pelos Agentes </w:t>
      </w:r>
      <w:r>
        <w:rPr>
          <w:rFonts w:ascii="Calibri" w:hAnsi="Calibri" w:cs="Calibri"/>
          <w:b/>
          <w:i w:val="0"/>
          <w:sz w:val="22"/>
          <w:u w:val="none"/>
        </w:rPr>
        <w:t>Wallace Alencar Martins Silveira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(Mat. 306017-9) e </w:t>
      </w:r>
      <w:r>
        <w:rPr>
          <w:rFonts w:ascii="Calibri" w:hAnsi="Calibri" w:cs="Calibri"/>
          <w:b/>
          <w:i w:val="0"/>
          <w:sz w:val="22"/>
          <w:u w:val="none"/>
        </w:rPr>
        <w:t>Ryan Abílio A. de Morais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(Mat. 30880603-1) em 26/03/2026 confirmam que a edificação encontra-se habitável e em plena conformidade física com a área de </w:t>
      </w:r>
      <w:r>
        <w:rPr>
          <w:rFonts w:ascii="Calibri" w:hAnsi="Calibri" w:cs="Calibri"/>
          <w:b/>
          <w:i w:val="0"/>
          <w:sz w:val="22"/>
          <w:u w:val="none"/>
        </w:rPr>
        <w:t>139,76m²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desenhada no Projeto As-Built;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Planta Cadastral do Município de Oliveira, datada de Julho/2002, comprova oficialmente a consolidação histórica de </w:t>
      </w:r>
      <w:r>
        <w:rPr>
          <w:rFonts w:ascii="Calibri" w:hAnsi="Calibri" w:cs="Calibri"/>
          <w:b/>
          <w:i w:val="0"/>
          <w:sz w:val="22"/>
          <w:u w:val="none"/>
        </w:rPr>
        <w:t>119,37m²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de área edificada neste lote, configurando prova administrativa para reconhecimento de decadência tributária;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os parâmetros urbanísticos apurados para a área total de 139,76m² resultam em Taxa de Ocupação de </w:t>
      </w:r>
      <w:r>
        <w:rPr>
          <w:rFonts w:ascii="Calibri" w:hAnsi="Calibri" w:cs="Calibri"/>
          <w:b/>
          <w:i w:val="0"/>
          <w:sz w:val="22"/>
          <w:u w:val="none"/>
        </w:rPr>
        <w:t>42,36%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Coeficiente de Aproveitamento de </w:t>
      </w:r>
      <w:r>
        <w:rPr>
          <w:rFonts w:ascii="Calibri" w:hAnsi="Calibri" w:cs="Calibri"/>
          <w:b/>
          <w:i w:val="0"/>
          <w:sz w:val="22"/>
          <w:u w:val="none"/>
        </w:rPr>
        <w:t>0,43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e Taxa de Permeabilidade de </w:t>
      </w:r>
      <w:r>
        <w:rPr>
          <w:rFonts w:ascii="Calibri" w:hAnsi="Calibri" w:cs="Calibri"/>
          <w:b/>
          <w:i w:val="0"/>
          <w:sz w:val="22"/>
          <w:u w:val="none"/>
        </w:rPr>
        <w:t>41,88%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mantendo-se estritamente dentro dos limites máximos e mínimos permitidos pela legislação de Uso e Ocupação do Solo vigente para a zona </w:t>
      </w:r>
      <w:r>
        <w:rPr>
          <w:rFonts w:ascii="Calibri" w:hAnsi="Calibri" w:cs="Calibri"/>
          <w:b/>
          <w:i w:val="0"/>
          <w:sz w:val="22"/>
          <w:u w:val="none"/>
        </w:rPr>
        <w:t>ZUR 2</w:t>
      </w:r>
      <w:r>
        <w:rPr>
          <w:rFonts w:ascii="Calibri" w:hAnsi="Calibri" w:cs="Calibri"/>
          <w:b w:val="0"/>
          <w:i w:val="0"/>
          <w:sz w:val="22"/>
          <w:u w:val="none"/>
        </w:rPr>
        <w:t>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os registros municipais (Espelho Cadastral) e a própria Matrícula do Imóvel (AV-10) comprovam que o logradouro anteriormente denominado </w:t>
      </w:r>
      <w:r>
        <w:rPr>
          <w:rFonts w:ascii="Calibri" w:hAnsi="Calibri" w:cs="Calibri"/>
          <w:b/>
          <w:i w:val="0"/>
          <w:sz w:val="22"/>
          <w:u w:val="none"/>
        </w:rPr>
        <w:t>Rua Ormenzinda Silvino Lobato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teve sua nomenclatura oficialmente atualizada para </w:t>
      </w:r>
      <w:r>
        <w:rPr>
          <w:rFonts w:ascii="Calibri" w:hAnsi="Calibri" w:cs="Calibri"/>
          <w:b/>
          <w:i w:val="0"/>
          <w:sz w:val="22"/>
          <w:u w:val="none"/>
        </w:rPr>
        <w:t>Rua Maria do Carmo Lobato</w:t>
      </w:r>
      <w:r>
        <w:rPr>
          <w:rFonts w:ascii="Calibri" w:hAnsi="Calibri" w:cs="Calibri"/>
          <w:b w:val="0"/>
          <w:i w:val="0"/>
          <w:sz w:val="22"/>
          <w:u w:val="none"/>
        </w:rPr>
        <w:t>, justificando a expedição de Certidão de Localização para espelhar a titularidade viária atual.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DA ANÁLISE LEGAL E TÉCNICA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análise técnica pautou-se no </w:t>
      </w:r>
      <w:r>
        <w:rPr>
          <w:rFonts w:ascii="Calibri" w:hAnsi="Calibri" w:cs="Calibri"/>
          <w:b/>
          <w:i w:val="0"/>
          <w:sz w:val="22"/>
          <w:u w:val="none"/>
        </w:rPr>
        <w:t>Código de Obras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nº 1.544/86), na </w:t>
      </w:r>
      <w:r>
        <w:rPr>
          <w:rFonts w:ascii="Calibri" w:hAnsi="Calibri" w:cs="Calibri"/>
          <w:b/>
          <w:i w:val="0"/>
          <w:sz w:val="22"/>
          <w:u w:val="none"/>
        </w:rPr>
        <w:t>LUOS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Complementar nº 267/19) e no </w:t>
      </w:r>
      <w:r>
        <w:rPr>
          <w:rFonts w:ascii="Calibri" w:hAnsi="Calibri" w:cs="Calibri"/>
          <w:b/>
          <w:i w:val="0"/>
          <w:sz w:val="22"/>
          <w:u w:val="none"/>
        </w:rPr>
        <w:t>Decreto nº 4.149/19</w:t>
      </w:r>
      <w:r>
        <w:rPr>
          <w:rFonts w:ascii="Calibri" w:hAnsi="Calibri" w:cs="Calibri"/>
          <w:b w:val="0"/>
          <w:i w:val="0"/>
          <w:sz w:val="22"/>
          <w:u w:val="none"/>
        </w:rPr>
        <w:t>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/>
          <w:sz w:val="22"/>
          <w:u w:val="none"/>
        </w:rPr>
        <w:t>Art. 150, §4º do Código Tributário Nacional (Lei nº 5.172/1966):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Aplica-se ao caso para deferir a decadência administrativa e atestar a consolidação temporal de 119,37m², comprovadamente edificada antes de 2002 conforme a Planta Cadastral do Município, afastando penalidades pecuniárias construtivas sobre este polígono específico.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/>
          <w:sz w:val="22"/>
          <w:u w:val="none"/>
        </w:rPr>
        <w:t>Arts. 38 e 39 da Lei Complementar nº 267/2019: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Os índices urbanísticos da edificação (TO, CA e TP) encontram-se em perfeita harmonia com os parâmetros de ocupação do solo delimitados para a zona ZUR 2, isentando a construção de multas por infração urbanística vinculadas ao excesso de área ou falta de área permeável.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Diante do exposto, atestada a estabilidade estrutural pelo Laudo Técnico, a conformidade dos parâmetros urbanísticos (ZUR 2), e o delineamento preciso das áreas pelo corpo técnico da SMOSU, opino de forma </w:t>
      </w:r>
      <w:r>
        <w:rPr>
          <w:rFonts w:ascii="Calibri" w:hAnsi="Calibri" w:cs="Calibri"/>
          <w:b/>
          <w:i w:val="0"/>
          <w:sz w:val="22"/>
          <w:u w:val="none"/>
        </w:rPr>
        <w:t>FAVORÁVEL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à emissão conjunta dos documentos de regularização e certificação de endereço requeridos. Após a emissão e assinatura de todos os documentos, encaminhar o processo ao Setor de Desenhista / Planta Cadastral para atualização da Planta Cadastral Municipal (em PDF e DWG) com os novos contornos e área regularizada de </w:t>
      </w:r>
      <w:r>
        <w:rPr>
          <w:rFonts w:ascii="Calibri" w:hAnsi="Calibri" w:cs="Calibri"/>
          <w:b/>
          <w:i w:val="0"/>
          <w:sz w:val="22"/>
          <w:u w:val="none"/>
        </w:rPr>
        <w:t>139,76m²</w:t>
      </w:r>
      <w:r>
        <w:rPr>
          <w:rFonts w:ascii="Calibri" w:hAnsi="Calibri" w:cs="Calibri"/>
          <w:b w:val="0"/>
          <w:i w:val="0"/>
          <w:sz w:val="22"/>
          <w:u w:val="none"/>
        </w:rPr>
        <w:t>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280" w:lineRule="exact"/>
        <w:ind w:left="170"/>
        <w:jc w:val="left"/>
        <w:shd w:val="clear" w:color="auto" w:fill="EBF0FA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Alvará de Regularização — 139,76m²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Alvará emitido para regularização de imóvel edificado sem projeto aprovado pela prefeitura, referente à área total de 139,76m², amparado pela decadência administrativa, mediante o cumprimento do Art. 79 da Lei 1.544 de 1986 e Art. 38, 39 da Lei 267 de 2019.</w:t>
      </w:r>
    </w:p>
    <w:p>
      <w:pPr>
        <w:spacing w:before="200" w:after="40" w:line="280" w:lineRule="exact"/>
        <w:ind w:left="170"/>
        <w:jc w:val="left"/>
        <w:shd w:val="clear" w:color="auto" w:fill="EBF0FA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Carta de Habite-se — 139,76m²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Averbação Cartorária: Este Habite-se não exime a aferição da obra no sistema SERO da RFB para emissão da CND, documento obrigatório para averbação no Cartório de Registro de Imóveis (Lei 14.382/2022). Área Total Coberta: 139,76m².</w:t>
      </w:r>
    </w:p>
    <w:p>
      <w:pPr>
        <w:spacing w:before="200" w:after="40" w:line="280" w:lineRule="exact"/>
        <w:ind w:left="170"/>
        <w:jc w:val="left"/>
        <w:shd w:val="clear" w:color="auto" w:fill="EBF0FA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Decadência — 119,37m²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Certifica-se, conforme Planta Cadastral do Município (Julho/2002), a consolidação de 119,37m² há mais de 5 (cinco) anos. Esta certidão deve ser anexada no sistema SERO da Receita Federal como prova material de obra com mais de 5 anos para obter a Decadência Previdenciária e liberar a CND.</w:t>
      </w:r>
    </w:p>
    <w:p>
      <w:pPr>
        <w:spacing w:before="200" w:after="40" w:line="280" w:lineRule="exact"/>
        <w:ind w:left="170"/>
        <w:jc w:val="left"/>
        <w:shd w:val="clear" w:color="auto" w:fill="EBF0FA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Averbação — 91,76m²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Certifica-se, para fins de registro cartorário, o acréscimo complementar de 91,76m² em relação à área anteriormente averbada (48,00m² - AV-2/1983), totalizando a área construída final de 139,76m² sobre o lote.</w:t>
      </w:r>
    </w:p>
    <w:p>
      <w:pPr>
        <w:spacing w:before="200" w:after="40" w:line="280" w:lineRule="exact"/>
        <w:ind w:left="170"/>
        <w:jc w:val="left"/>
        <w:shd w:val="clear" w:color="auto" w:fill="EBF0FA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Localização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Certifica-se, para os devidos fins de direito e atualização registral, que o logradouro anteriormente denominado 'Rua Ormenzinda Silvino Lobato' teve sua nomenclatura legalmente atualizada para 'Rua Maria do Carmo Lobato', mantendo-se a numeração predial 67.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29 de abril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60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36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