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 w:before="280" w:after="220"/>
      </w:pPr>
      <w:r>
        <w:rPr>
          <w:rFonts w:ascii="Cambria" w:hAnsi="Cambria" w:cs="Cambria"/>
          <w:b/>
          <w:i w:val="0"/>
          <w:color w:val="1F3864"/>
          <w:sz w:val="28"/>
          <w:u w:val="none"/>
        </w:rPr>
        <w:t>PARECER SETOR TÉCNICO - SMOSU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5103"/>
        <w:gridCol w:w="5103"/>
      </w:tblGrid>
      <w:tr>
        <w:tc>
          <w:tcPr>
            <w:tcW w:type="dxa" w:w="226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Processo nº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164/2026  —  09 de janeiro de 2026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Assunto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Regularização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Requerente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sz w:val="18"/>
                <w:u w:val="none"/>
              </w:rPr>
              <w:t>Antônio Martins Neto</w:t>
            </w:r>
          </w:p>
        </w:tc>
      </w:tr>
    </w:tbl>
    <w:p>
      <w:pPr>
        <w:spacing w:line="60" w:lineRule="auto" w:before="80" w:after="60"/>
        <w:pBdr>
          <w:bottom w:val="single" w:sz="4" w:color="1F3864"/>
        </w:pBdr>
      </w:pPr>
    </w:p>
    <w:p>
      <w:pPr>
        <w:jc w:val="left"/>
        <w:spacing w:line="240" w:lineRule="auto" w:before="280" w:after="60"/>
      </w:pPr>
      <w:r>
        <w:rPr>
          <w:rFonts w:ascii="Calibri" w:hAnsi="Calibri" w:cs="Calibri"/>
          <w:b/>
          <w:i w:val="0"/>
          <w:color w:val="1F3864"/>
          <w:sz w:val="18"/>
          <w:u w:val="none"/>
        </w:rPr>
        <w:t>DADOS TÉCNICOS DO PROJETO (Ref. Decreto nº 4.149/2019)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Endereço: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Rua Doutor Odorico Ribeiro, nº 107 - Acácio Ribeiro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Inscrição Mun.: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sz w:val="18"/>
                <w:u w:val="none"/>
              </w:rPr>
              <w:t>01.01.045.0067.001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Proprietário: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sz w:val="18"/>
                <w:u w:val="none"/>
              </w:rPr>
              <w:t>Antônio Martins Neto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Desenhista: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Lote: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17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Quadra: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06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Área Terreno: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sz w:val="18"/>
                <w:u w:val="none"/>
              </w:rPr>
              <w:t>360,00m²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Área Total: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sz w:val="18"/>
                <w:u w:val="none"/>
              </w:rPr>
              <w:t>283,38m²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Taxa Ocupação: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Não informada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Coef. Aprov.: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Não informado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Permeabilidade: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Não informada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Resp. Técnico: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sz w:val="18"/>
                <w:u w:val="none"/>
              </w:rPr>
              <w:t>Samuel Dias</w:t>
            </w:r>
          </w:p>
        </w:tc>
      </w:tr>
    </w:tbl>
    <w:p>
      <w:pPr>
        <w:spacing w:line="60" w:lineRule="auto" w:before="80" w:after="60"/>
        <w:pBdr>
          <w:bottom w:val="single" w:sz="4" w:color="1F3864"/>
        </w:pBdr>
      </w:pPr>
    </w:p>
    <w:p>
      <w:pPr>
        <w:ind w:firstLine="709"/>
        <w:jc w:val="both"/>
        <w:spacing w:line="288" w:lineRule="auto" w:before="300" w:after="120"/>
      </w:pPr>
      <w:r>
        <w:rPr>
          <w:rFonts w:ascii="Calibri" w:hAnsi="Calibri" w:cs="Calibri"/>
          <w:b w:val="0"/>
          <w:i w:val="0"/>
          <w:sz w:val="22"/>
          <w:u w:val="none"/>
        </w:rPr>
        <w:t xml:space="preserve">A Secretaria Municipal de Obras e Serviços Urbanos, através do Departamento Técnico, em face deste Processo Administrativo nº </w:t>
      </w:r>
      <w:r>
        <w:rPr>
          <w:rFonts w:ascii="Calibri" w:hAnsi="Calibri" w:cs="Calibri"/>
          <w:b/>
          <w:i w:val="0"/>
          <w:sz w:val="22"/>
          <w:u w:val="none"/>
        </w:rPr>
        <w:t>164/2026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, onde o requerente </w:t>
      </w:r>
      <w:r>
        <w:rPr>
          <w:rFonts w:ascii="Calibri" w:hAnsi="Calibri" w:cs="Calibri"/>
          <w:b/>
          <w:i w:val="0"/>
          <w:sz w:val="22"/>
          <w:u w:val="none"/>
        </w:rPr>
        <w:t>Antônio Martins Neto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solicita a regularização de obra para edificação residencial, com área total construída de </w:t>
      </w:r>
      <w:r>
        <w:rPr>
          <w:rFonts w:ascii="Calibri" w:hAnsi="Calibri" w:cs="Calibri"/>
          <w:b/>
          <w:i w:val="0"/>
          <w:sz w:val="22"/>
          <w:u w:val="none"/>
        </w:rPr>
        <w:t>283,38m²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. A edificação está inserida em uma fração ideal de </w:t>
      </w:r>
      <w:r>
        <w:rPr>
          <w:rFonts w:ascii="Calibri" w:hAnsi="Calibri" w:cs="Calibri"/>
          <w:b/>
          <w:i w:val="0"/>
          <w:sz w:val="22"/>
          <w:u w:val="none"/>
        </w:rPr>
        <w:t>240,00m²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, pertencente a um terreno com área total de </w:t>
      </w:r>
      <w:r>
        <w:rPr>
          <w:rFonts w:ascii="Calibri" w:hAnsi="Calibri" w:cs="Calibri"/>
          <w:b/>
          <w:i w:val="0"/>
          <w:sz w:val="22"/>
          <w:u w:val="none"/>
        </w:rPr>
        <w:t>360,00m²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. Localizado no zoneamento </w:t>
      </w:r>
      <w:r>
        <w:rPr>
          <w:rFonts w:ascii="Calibri" w:hAnsi="Calibri" w:cs="Calibri"/>
          <w:b/>
          <w:i w:val="0"/>
          <w:sz w:val="22"/>
          <w:u w:val="none"/>
        </w:rPr>
        <w:t>ZUR 03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na Rua Doutor Odorico Ribeiro, nº 107, Bairro Acácio Ribeiro, onde de acordo com o parecer fiscal emitido por </w:t>
      </w:r>
      <w:r>
        <w:rPr>
          <w:rFonts w:ascii="Calibri" w:hAnsi="Calibri" w:cs="Calibri"/>
          <w:b/>
          <w:i w:val="0"/>
          <w:sz w:val="22"/>
          <w:u w:val="none"/>
        </w:rPr>
        <w:t>Marlei Henrique de Oliveira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e </w:t>
      </w:r>
      <w:r>
        <w:rPr>
          <w:rFonts w:ascii="Calibri" w:hAnsi="Calibri" w:cs="Calibri"/>
          <w:b/>
          <w:i w:val="0"/>
          <w:sz w:val="22"/>
          <w:u w:val="none"/>
        </w:rPr>
        <w:t>Wallace Alencar Martins Silveira</w:t>
      </w:r>
      <w:r>
        <w:rPr>
          <w:rFonts w:ascii="Calibri" w:hAnsi="Calibri" w:cs="Calibri"/>
          <w:b w:val="0"/>
          <w:i w:val="0"/>
          <w:sz w:val="22"/>
          <w:u w:val="none"/>
        </w:rPr>
        <w:t>, a construção se encontra finalizada, habitável e confere com o projeto apresentado.</w:t>
      </w:r>
    </w:p>
    <w:p>
      <w:pPr>
        <w:ind w:firstLine="709"/>
        <w:jc w:val="both"/>
        <w:spacing w:line="288" w:lineRule="auto" w:before="0" w:after="120"/>
      </w:pPr>
      <w:r>
        <w:rPr>
          <w:rFonts w:ascii="Calibri" w:hAnsi="Calibri" w:cs="Calibri"/>
          <w:b/>
          <w:i w:val="0"/>
          <w:sz w:val="22"/>
          <w:u w:val="none"/>
        </w:rPr>
        <w:t xml:space="preserve">Considerando que 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o requerente apresentou Título de Propriedade com MATRÍCULA DE INTEIRO TEOR sob nº </w:t>
      </w:r>
      <w:r>
        <w:rPr>
          <w:rFonts w:ascii="Calibri" w:hAnsi="Calibri" w:cs="Calibri"/>
          <w:b/>
          <w:i w:val="0"/>
          <w:sz w:val="22"/>
          <w:u w:val="none"/>
        </w:rPr>
        <w:t>9833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(Lote 17, da quadra 06, fração ideal de </w:t>
      </w:r>
      <w:r>
        <w:rPr>
          <w:rFonts w:ascii="Calibri" w:hAnsi="Calibri" w:cs="Calibri"/>
          <w:b/>
          <w:i w:val="0"/>
          <w:sz w:val="22"/>
          <w:u w:val="none"/>
        </w:rPr>
        <w:t>240,00m²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) e Inscrição Cadastral </w:t>
      </w:r>
      <w:r>
        <w:rPr>
          <w:rFonts w:ascii="Calibri" w:hAnsi="Calibri" w:cs="Calibri"/>
          <w:b/>
          <w:i w:val="0"/>
          <w:sz w:val="22"/>
          <w:u w:val="none"/>
        </w:rPr>
        <w:t>01.01.045.0067.001</w:t>
      </w:r>
      <w:r>
        <w:rPr>
          <w:rFonts w:ascii="Calibri" w:hAnsi="Calibri" w:cs="Calibri"/>
          <w:b w:val="0"/>
          <w:i w:val="0"/>
          <w:sz w:val="22"/>
          <w:u w:val="none"/>
        </w:rPr>
        <w:t>.</w:t>
      </w:r>
    </w:p>
    <w:p>
      <w:pPr>
        <w:ind w:firstLine="709"/>
        <w:jc w:val="both"/>
        <w:spacing w:line="288" w:lineRule="auto" w:before="0" w:after="120"/>
      </w:pPr>
      <w:r>
        <w:rPr>
          <w:rFonts w:ascii="Calibri" w:hAnsi="Calibri" w:cs="Calibri"/>
          <w:b/>
          <w:i w:val="0"/>
          <w:sz w:val="22"/>
          <w:u w:val="none"/>
        </w:rPr>
        <w:t xml:space="preserve">Considerando que 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Para o laudo técnico de estabilidade (Data: </w:t>
      </w:r>
      <w:r>
        <w:rPr>
          <w:rFonts w:ascii="Calibri" w:hAnsi="Calibri" w:cs="Calibri"/>
          <w:b/>
          <w:i w:val="0"/>
          <w:sz w:val="22"/>
          <w:u w:val="none"/>
        </w:rPr>
        <w:t>15/12/2025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) e Projeto As Built, foi emitida a Anotação de Responsabilidade Técnica (ART) nº </w:t>
      </w:r>
      <w:r>
        <w:rPr>
          <w:rFonts w:ascii="Calibri" w:hAnsi="Calibri" w:cs="Calibri"/>
          <w:b/>
          <w:i w:val="0"/>
          <w:sz w:val="22"/>
          <w:u w:val="none"/>
        </w:rPr>
        <w:t>MG20254540522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pelo profissional Engenheiro Civil </w:t>
      </w:r>
      <w:r>
        <w:rPr>
          <w:rFonts w:ascii="Calibri" w:hAnsi="Calibri" w:cs="Calibri"/>
          <w:b/>
          <w:i w:val="0"/>
          <w:sz w:val="22"/>
          <w:u w:val="none"/>
        </w:rPr>
        <w:t>Samuel Dias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CREA-MG nº </w:t>
      </w:r>
      <w:r>
        <w:rPr>
          <w:rFonts w:ascii="Calibri" w:hAnsi="Calibri" w:cs="Calibri"/>
          <w:b/>
          <w:i w:val="0"/>
          <w:sz w:val="22"/>
          <w:u w:val="none"/>
        </w:rPr>
        <w:t>201.767/D</w:t>
      </w:r>
      <w:r>
        <w:rPr>
          <w:rFonts w:ascii="Calibri" w:hAnsi="Calibri" w:cs="Calibri"/>
          <w:b w:val="0"/>
          <w:i w:val="0"/>
          <w:sz w:val="22"/>
          <w:u w:val="none"/>
        </w:rPr>
        <w:t>.</w:t>
      </w:r>
    </w:p>
    <w:p>
      <w:pPr>
        <w:ind w:firstLine="709"/>
        <w:jc w:val="both"/>
        <w:spacing w:line="288" w:lineRule="auto" w:before="200" w:after="8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>Da Análise Legal e Técnica:</w:t>
      </w:r>
    </w:p>
    <w:p>
      <w:pPr>
        <w:ind w:firstLine="709"/>
        <w:jc w:val="both"/>
        <w:spacing w:line="288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 xml:space="preserve">• 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Considerando que o setor técnico salienta que no que tange a Legislação </w:t>
      </w:r>
      <w:r>
        <w:rPr>
          <w:rFonts w:ascii="Calibri" w:hAnsi="Calibri" w:cs="Calibri"/>
          <w:b w:val="0"/>
          <w:i/>
          <w:sz w:val="22"/>
          <w:u w:val="none"/>
        </w:rPr>
        <w:t>Decreto 4.149 de 19/12/2019</w:t>
      </w:r>
      <w:r>
        <w:rPr>
          <w:rFonts w:ascii="Calibri" w:hAnsi="Calibri" w:cs="Calibri"/>
          <w:b w:val="0"/>
          <w:i w:val="0"/>
          <w:sz w:val="22"/>
          <w:u w:val="none"/>
        </w:rPr>
        <w:t>, Código de Obras do município de Oliveira (</w:t>
      </w:r>
      <w:r>
        <w:rPr>
          <w:rFonts w:ascii="Calibri" w:hAnsi="Calibri" w:cs="Calibri"/>
          <w:b w:val="0"/>
          <w:i/>
          <w:sz w:val="22"/>
          <w:u w:val="none"/>
        </w:rPr>
        <w:t>Lei nº 1.544, de 04 de março de 1986</w:t>
      </w:r>
      <w:r>
        <w:rPr>
          <w:rFonts w:ascii="Calibri" w:hAnsi="Calibri" w:cs="Calibri"/>
          <w:b w:val="0"/>
          <w:i w:val="0"/>
          <w:sz w:val="22"/>
          <w:u w:val="none"/>
        </w:rPr>
        <w:t>) e Lei de Uso e Ocupação do Solo (</w:t>
      </w:r>
      <w:r>
        <w:rPr>
          <w:rFonts w:ascii="Calibri" w:hAnsi="Calibri" w:cs="Calibri"/>
          <w:b w:val="0"/>
          <w:i/>
          <w:sz w:val="22"/>
          <w:u w:val="none"/>
        </w:rPr>
        <w:t>Lei Complementar 267 de 11/11/2019</w:t>
      </w:r>
      <w:r>
        <w:rPr>
          <w:rFonts w:ascii="Calibri" w:hAnsi="Calibri" w:cs="Calibri"/>
          <w:b w:val="0"/>
          <w:i w:val="0"/>
          <w:sz w:val="22"/>
          <w:u w:val="none"/>
        </w:rPr>
        <w:t>).</w:t>
      </w:r>
    </w:p>
    <w:p>
      <w:pPr>
        <w:ind w:firstLine="709"/>
        <w:jc w:val="both"/>
        <w:spacing w:line="288" w:lineRule="auto" w:before="200" w:after="40"/>
      </w:pPr>
      <w:r>
        <w:rPr>
          <w:rFonts w:ascii="Cambria" w:hAnsi="Cambria" w:cs="Cambria"/>
          <w:b/>
          <w:i w:val="0"/>
          <w:color w:val="1F3864"/>
          <w:sz w:val="24"/>
          <w:u w:val="none"/>
        </w:rPr>
        <w:t>Emissão de Documentos:</w:t>
      </w:r>
    </w:p>
    <w:p>
      <w:pPr>
        <w:ind w:firstLine="709"/>
        <w:jc w:val="both"/>
        <w:spacing w:line="288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 xml:space="preserve">No que tange ao processo de averbação, a análise documental demonstra que o imóvel não possui área construída averbada em sua matrícula atual. Tendo em vista que o levantamento constatou uma área total de </w:t>
      </w:r>
      <w:r>
        <w:rPr>
          <w:rFonts w:ascii="Calibri" w:hAnsi="Calibri" w:cs="Calibri"/>
          <w:b/>
          <w:i w:val="0"/>
          <w:sz w:val="22"/>
          <w:u w:val="none"/>
        </w:rPr>
        <w:t>283,38m²</w:t>
      </w:r>
      <w:r>
        <w:rPr>
          <w:rFonts w:ascii="Calibri" w:hAnsi="Calibri" w:cs="Calibri"/>
          <w:b w:val="0"/>
          <w:i w:val="0"/>
          <w:sz w:val="22"/>
          <w:u w:val="none"/>
        </w:rPr>
        <w:t>, a respectiva averbação incidirá sobre a totalidade desta área.</w:t>
        <w:br/>
        <w:br/>
        <w:t>Diante disso, aprovado e verificado o laudo, as áreas e as considerações do parecer fiscal, tendo sido sanadas as pendências documentais, constar: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6DCE4" w:space="0"/>
          <w:bottom w:val="single" w:sz="4" w:color="D6DCE4" w:space="0"/>
          <w:right w:val="single" w:sz="4" w:color="D6DCE4" w:space="0"/>
          <w:left w:val="single" w:sz="18" w:color="1F3864" w:space="0"/>
        </w:tblBorders>
      </w:tblPr>
      <w:tblGrid>
        <w:gridCol w:w="10206"/>
      </w:tblGrid>
      <w:tr>
        <w:tc>
          <w:tcPr>
            <w:tcW w:type="dxa" w:w="10206"/>
            <w:shd w:fill="F8F9FA" w:val="clear"/>
          </w:tcPr>
          <w:p>
            <w:pPr>
              <w:jc w:val="both"/>
              <w:spacing w:line="288" w:lineRule="auto" w:before="40" w:after="20"/>
            </w:pPr>
            <w:r>
              <w:rPr>
                <w:rFonts w:ascii="Calibri" w:hAnsi="Calibri" w:cs="Calibri"/>
                <w:b/>
                <w:i w:val="0"/>
                <w:sz w:val="22"/>
                <w:u w:val="none"/>
              </w:rPr>
              <w:t>Alvará de Regularização</w:t>
            </w:r>
          </w:p>
          <w:p>
            <w:pPr>
              <w:jc w:val="both"/>
              <w:spacing w:line="280" w:lineRule="auto" w:before="0" w:after="40"/>
            </w:pPr>
            <w:r>
              <w:rPr>
                <w:rFonts w:ascii="Calibri" w:hAnsi="Calibri" w:cs="Calibri"/>
                <w:b w:val="0"/>
                <w:i w:val="0"/>
                <w:color w:val="444444"/>
                <w:sz w:val="20"/>
                <w:u w:val="none"/>
              </w:rPr>
              <w:t xml:space="preserve">Alvará emitido para regularização de imóvel edificado sem projeto aprovado pela prefeitura, referente à área total de </w:t>
            </w:r>
            <w:r>
              <w:rPr>
                <w:rFonts w:ascii="Calibri" w:hAnsi="Calibri" w:cs="Calibri"/>
                <w:b/>
                <w:i w:val="0"/>
                <w:color w:val="444444"/>
                <w:sz w:val="20"/>
                <w:u w:val="none"/>
              </w:rPr>
              <w:t>283,38m²</w:t>
            </w:r>
            <w:r>
              <w:rPr>
                <w:rFonts w:ascii="Calibri" w:hAnsi="Calibri" w:cs="Calibri"/>
                <w:b w:val="0"/>
                <w:i w:val="0"/>
                <w:color w:val="444444"/>
                <w:sz w:val="20"/>
                <w:u w:val="none"/>
              </w:rPr>
              <w:t xml:space="preserve">, mediante o cumprimento do </w:t>
            </w:r>
            <w:r>
              <w:rPr>
                <w:rFonts w:ascii="Calibri" w:hAnsi="Calibri" w:cs="Calibri"/>
                <w:b w:val="0"/>
                <w:i/>
                <w:color w:val="444444"/>
                <w:sz w:val="20"/>
                <w:u w:val="none"/>
              </w:rPr>
              <w:t>Art. 79 da Lei 1.544 de 1986</w:t>
            </w:r>
            <w:r>
              <w:rPr>
                <w:rFonts w:ascii="Calibri" w:hAnsi="Calibri" w:cs="Calibri"/>
                <w:b w:val="0"/>
                <w:i w:val="0"/>
                <w:color w:val="444444"/>
                <w:sz w:val="20"/>
                <w:u w:val="none"/>
              </w:rPr>
              <w:t xml:space="preserve"> e </w:t>
            </w:r>
            <w:r>
              <w:rPr>
                <w:rFonts w:ascii="Calibri" w:hAnsi="Calibri" w:cs="Calibri"/>
                <w:b w:val="0"/>
                <w:i/>
                <w:color w:val="444444"/>
                <w:sz w:val="20"/>
                <w:u w:val="none"/>
              </w:rPr>
              <w:t>Art. 38, 39 da Lei Complementar 267 de 2019</w:t>
            </w:r>
            <w:r>
              <w:rPr>
                <w:rFonts w:ascii="Calibri" w:hAnsi="Calibri" w:cs="Calibri"/>
                <w:b w:val="0"/>
                <w:i w:val="0"/>
                <w:color w:val="444444"/>
                <w:sz w:val="20"/>
                <w:u w:val="none"/>
              </w:rPr>
              <w:t>.</w:t>
            </w:r>
          </w:p>
        </w:tc>
      </w:tr>
    </w:tbl>
    <w:p>
      <w:pPr>
        <w:spacing w:line="80" w:lineRule="auto"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6DCE4" w:space="0"/>
          <w:bottom w:val="single" w:sz="4" w:color="D6DCE4" w:space="0"/>
          <w:right w:val="single" w:sz="4" w:color="D6DCE4" w:space="0"/>
          <w:left w:val="single" w:sz="18" w:color="1F3864" w:space="0"/>
        </w:tblBorders>
      </w:tblPr>
      <w:tblGrid>
        <w:gridCol w:w="10206"/>
      </w:tblGrid>
      <w:tr>
        <w:tc>
          <w:tcPr>
            <w:tcW w:type="dxa" w:w="10206"/>
            <w:shd w:fill="F8F9FA" w:val="clear"/>
          </w:tcPr>
          <w:p>
            <w:pPr>
              <w:jc w:val="both"/>
              <w:spacing w:line="288" w:lineRule="auto" w:before="40" w:after="20"/>
            </w:pPr>
            <w:r>
              <w:rPr>
                <w:rFonts w:ascii="Calibri" w:hAnsi="Calibri" w:cs="Calibri"/>
                <w:b/>
                <w:i w:val="0"/>
                <w:sz w:val="22"/>
                <w:u w:val="none"/>
              </w:rPr>
              <w:t>Carta de Habite-se</w:t>
            </w:r>
          </w:p>
          <w:p>
            <w:pPr>
              <w:jc w:val="both"/>
              <w:spacing w:line="280" w:lineRule="auto" w:before="0" w:after="40"/>
            </w:pPr>
            <w:r>
              <w:rPr>
                <w:rFonts w:ascii="Calibri" w:hAnsi="Calibri" w:cs="Calibri"/>
                <w:b w:val="0"/>
                <w:i w:val="0"/>
                <w:color w:val="444444"/>
                <w:sz w:val="20"/>
                <w:u w:val="none"/>
              </w:rPr>
              <w:t xml:space="preserve">Referente à área total de </w:t>
            </w:r>
            <w:r>
              <w:rPr>
                <w:rFonts w:ascii="Calibri" w:hAnsi="Calibri" w:cs="Calibri"/>
                <w:b/>
                <w:i w:val="0"/>
                <w:color w:val="444444"/>
                <w:sz w:val="20"/>
                <w:u w:val="none"/>
              </w:rPr>
              <w:t>283,38m²</w:t>
            </w:r>
            <w:r>
              <w:rPr>
                <w:rFonts w:ascii="Calibri" w:hAnsi="Calibri" w:cs="Calibri"/>
                <w:b w:val="0"/>
                <w:i w:val="0"/>
                <w:color w:val="444444"/>
                <w:sz w:val="20"/>
                <w:u w:val="none"/>
              </w:rPr>
              <w:t>.</w:t>
            </w:r>
          </w:p>
        </w:tc>
      </w:tr>
    </w:tbl>
    <w:p>
      <w:pPr>
        <w:spacing w:line="80" w:lineRule="auto"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6DCE4" w:space="0"/>
          <w:bottom w:val="single" w:sz="4" w:color="D6DCE4" w:space="0"/>
          <w:right w:val="single" w:sz="4" w:color="D6DCE4" w:space="0"/>
          <w:left w:val="single" w:sz="18" w:color="1F3864" w:space="0"/>
        </w:tblBorders>
      </w:tblPr>
      <w:tblGrid>
        <w:gridCol w:w="10206"/>
      </w:tblGrid>
      <w:tr>
        <w:tc>
          <w:tcPr>
            <w:tcW w:type="dxa" w:w="10206"/>
            <w:shd w:fill="F8F9FA" w:val="clear"/>
          </w:tcPr>
          <w:p>
            <w:pPr>
              <w:jc w:val="both"/>
              <w:spacing w:line="288" w:lineRule="auto" w:before="40" w:after="20"/>
            </w:pPr>
            <w:r>
              <w:rPr>
                <w:rFonts w:ascii="Calibri" w:hAnsi="Calibri" w:cs="Calibri"/>
                <w:b/>
                <w:i w:val="0"/>
                <w:sz w:val="22"/>
                <w:u w:val="none"/>
              </w:rPr>
              <w:t>Certidão de Averbação</w:t>
            </w:r>
          </w:p>
          <w:p>
            <w:pPr>
              <w:jc w:val="both"/>
              <w:spacing w:line="280" w:lineRule="auto" w:before="0" w:after="40"/>
            </w:pPr>
            <w:r>
              <w:rPr>
                <w:rFonts w:ascii="Calibri" w:hAnsi="Calibri" w:cs="Calibri"/>
                <w:b w:val="0"/>
                <w:i w:val="0"/>
                <w:color w:val="444444"/>
                <w:sz w:val="20"/>
                <w:u w:val="none"/>
              </w:rPr>
              <w:t xml:space="preserve">Referente à área total de </w:t>
            </w:r>
            <w:r>
              <w:rPr>
                <w:rFonts w:ascii="Calibri" w:hAnsi="Calibri" w:cs="Calibri"/>
                <w:b/>
                <w:i w:val="0"/>
                <w:color w:val="444444"/>
                <w:sz w:val="20"/>
                <w:u w:val="none"/>
              </w:rPr>
              <w:t>283,38m²</w:t>
            </w:r>
            <w:r>
              <w:rPr>
                <w:rFonts w:ascii="Calibri" w:hAnsi="Calibri" w:cs="Calibri"/>
                <w:b w:val="0"/>
                <w:i w:val="0"/>
                <w:color w:val="444444"/>
                <w:sz w:val="20"/>
                <w:u w:val="none"/>
              </w:rPr>
              <w:t>.</w:t>
            </w:r>
          </w:p>
        </w:tc>
      </w:tr>
    </w:tbl>
    <w:p>
      <w:pPr>
        <w:spacing w:line="80" w:lineRule="auto"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6DCE4" w:space="0"/>
          <w:bottom w:val="single" w:sz="4" w:color="D6DCE4" w:space="0"/>
          <w:right w:val="single" w:sz="4" w:color="D6DCE4" w:space="0"/>
          <w:left w:val="single" w:sz="18" w:color="1F3864" w:space="0"/>
        </w:tblBorders>
      </w:tblPr>
      <w:tblGrid>
        <w:gridCol w:w="10206"/>
      </w:tblGrid>
      <w:tr>
        <w:tc>
          <w:tcPr>
            <w:tcW w:type="dxa" w:w="10206"/>
            <w:shd w:fill="F8F9FA" w:val="clear"/>
          </w:tcPr>
          <w:p>
            <w:pPr>
              <w:jc w:val="both"/>
              <w:spacing w:line="288" w:lineRule="auto" w:before="40" w:after="20"/>
            </w:pPr>
            <w:r>
              <w:rPr>
                <w:rFonts w:ascii="Calibri" w:hAnsi="Calibri" w:cs="Calibri"/>
                <w:b/>
                <w:i w:val="0"/>
                <w:sz w:val="22"/>
                <w:u w:val="none"/>
              </w:rPr>
              <w:t>Certidão de Decadência</w:t>
            </w:r>
          </w:p>
          <w:p>
            <w:pPr>
              <w:jc w:val="both"/>
              <w:spacing w:line="280" w:lineRule="auto" w:before="0" w:after="40"/>
            </w:pPr>
            <w:r>
              <w:rPr>
                <w:rFonts w:ascii="Calibri" w:hAnsi="Calibri" w:cs="Calibri"/>
                <w:b w:val="0"/>
                <w:i w:val="0"/>
                <w:color w:val="444444"/>
                <w:sz w:val="20"/>
                <w:u w:val="none"/>
              </w:rPr>
              <w:t xml:space="preserve">Conforme Planta Cadastral do município com Data de Cadastro em </w:t>
            </w:r>
            <w:r>
              <w:rPr>
                <w:rFonts w:ascii="Calibri" w:hAnsi="Calibri" w:cs="Calibri"/>
                <w:b/>
                <w:i w:val="0"/>
                <w:color w:val="444444"/>
                <w:sz w:val="20"/>
                <w:u w:val="none"/>
              </w:rPr>
              <w:t>13/11/2012</w:t>
            </w:r>
            <w:r>
              <w:rPr>
                <w:rFonts w:ascii="Calibri" w:hAnsi="Calibri" w:cs="Calibri"/>
                <w:b w:val="0"/>
                <w:i w:val="0"/>
                <w:color w:val="444444"/>
                <w:sz w:val="20"/>
                <w:u w:val="none"/>
              </w:rPr>
              <w:t xml:space="preserve">, atesta-se a existência consolidada de </w:t>
            </w:r>
            <w:r>
              <w:rPr>
                <w:rFonts w:ascii="Calibri" w:hAnsi="Calibri" w:cs="Calibri"/>
                <w:b/>
                <w:i w:val="0"/>
                <w:color w:val="444444"/>
                <w:sz w:val="20"/>
                <w:u w:val="none"/>
              </w:rPr>
              <w:t>163,72m²</w:t>
            </w:r>
            <w:r>
              <w:rPr>
                <w:rFonts w:ascii="Calibri" w:hAnsi="Calibri" w:cs="Calibri"/>
                <w:b w:val="0"/>
                <w:i w:val="0"/>
                <w:color w:val="444444"/>
                <w:sz w:val="20"/>
                <w:u w:val="none"/>
              </w:rPr>
              <w:t xml:space="preserve"> de área construída no lote, garantindo a decadência para esta parcela do imóvel.</w:t>
            </w:r>
          </w:p>
        </w:tc>
      </w:tr>
    </w:tbl>
    <w:p>
      <w:pPr>
        <w:spacing w:line="80" w:lineRule="auto" w:before="0" w:after="0"/>
      </w:pPr>
    </w:p>
    <w:p>
      <w:pPr>
        <w:jc w:val="center"/>
        <w:keepNext/>
        <w:spacing w:line="288" w:lineRule="auto" w:before="200" w:after="0"/>
      </w:pPr>
      <w:r>
        <w:rPr>
          <w:rFonts w:ascii="Calibri" w:hAnsi="Calibri" w:cs="Calibri"/>
          <w:b/>
          <w:i w:val="0"/>
          <w:sz w:val="22"/>
          <w:u w:val="none"/>
        </w:rPr>
        <w:t>Oliveira, 21 de abril de 2026.</w:t>
      </w:r>
    </w:p>
    <w:p>
      <w:pPr>
        <w:keepNext/>
        <w:spacing w:line="288" w:lineRule="auto" w:before="0" w:after="0"/>
      </w:pPr>
    </w:p>
    <w:p>
      <w:pPr>
        <w:keepNext/>
        <w:spacing w:line="288" w:lineRule="auto" w:before="0" w:after="0"/>
      </w:pPr>
    </w:p>
    <w:p>
      <w:pPr>
        <w:jc w:val="center"/>
        <w:keepNext/>
        <w:spacing w:line="240" w:lineRule="auto" w:before="0" w:after="40"/>
      </w:pPr>
      <w:r>
        <w:rPr>
          <w:rFonts w:ascii="Calibri" w:hAnsi="Calibri" w:cs="Calibri"/>
          <w:b w:val="0"/>
          <w:i w:val="0"/>
          <w:color w:val="999999"/>
          <w:sz w:val="20"/>
          <w:u w:val="none"/>
        </w:rPr>
        <w:t>_____________________________________________</w:t>
      </w:r>
    </w:p>
    <w:p>
      <w:pPr>
        <w:jc w:val="center"/>
        <w:keepNext/>
        <w:spacing w:line="288" w:lineRule="auto" w:before="0" w:after="0"/>
      </w:pPr>
      <w:r>
        <w:rPr>
          <w:rFonts w:ascii="Calibri" w:hAnsi="Calibri" w:cs="Calibri"/>
          <w:b/>
          <w:i w:val="0"/>
          <w:sz w:val="22"/>
          <w:u w:val="none"/>
        </w:rPr>
        <w:t>Diego Tarcísio Nunes Vilela</w:t>
      </w:r>
    </w:p>
    <w:p>
      <w:pPr>
        <w:jc w:val="center"/>
        <w:keepNext/>
        <w:spacing w:line="288" w:lineRule="auto" w:before="0" w:after="0"/>
      </w:pPr>
      <w:r>
        <w:rPr>
          <w:rFonts w:ascii="Calibri" w:hAnsi="Calibri" w:cs="Calibri"/>
          <w:b w:val="0"/>
          <w:i w:val="0"/>
          <w:sz w:val="22"/>
          <w:u w:val="none"/>
        </w:rPr>
        <w:t>Engenheiro Civil</w:t>
      </w:r>
    </w:p>
    <w:p>
      <w:pPr>
        <w:jc w:val="center"/>
        <w:spacing w:line="288" w:lineRule="auto" w:before="0" w:after="0"/>
      </w:pPr>
      <w:r>
        <w:rPr>
          <w:rFonts w:ascii="Calibri" w:hAnsi="Calibri" w:cs="Calibri"/>
          <w:b w:val="0"/>
          <w:i w:val="0"/>
          <w:sz w:val="22"/>
          <w:u w:val="none"/>
        </w:rPr>
        <w:t>CREA 235.474/D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spacing w:line="240" w:lineRule="auto" w:before="0" w:after="0"/>
    </w:pPr>
    <w:r>
      <w:rPr>
        <w:rFonts w:ascii="Calibri" w:hAnsi="Calibri" w:cs="Calibri"/>
        <w:b w:val="0"/>
        <w:i w:val="0"/>
        <w:color w:val="666666"/>
        <w:sz w:val="16"/>
        <w:u w:val="none"/>
      </w:rPr>
      <w:t xml:space="preserve">Página </w:t>
    </w:r>
    <w:r>
      <w:rPr>
        <w:rFonts w:ascii="Calibri" w:hAnsi="Calibri" w:cs="Calibri"/>
        <w:b w:val="0"/>
        <w:i w:val="0"/>
        <w:color w:val="666666"/>
        <w:sz w:val="16"/>
        <w:u w:val="none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 w:cs="Calibri"/>
        <w:b w:val="0"/>
        <w:i w:val="0"/>
        <w:color w:val="666666"/>
        <w:sz w:val="16"/>
        <w:u w:val="none"/>
      </w:rPr>
      <w:t xml:space="preserve"> de </w:t>
    </w:r>
    <w:r>
      <w:rPr>
        <w:rFonts w:ascii="Calibri" w:hAnsi="Calibri" w:cs="Calibri"/>
        <w:b w:val="0"/>
        <w:i w:val="0"/>
        <w:color w:val="666666"/>
        <w:sz w:val="16"/>
        <w:u w:val="none"/>
      </w:rP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rPr>
        <w:trHeight w:val="1200"/>
      </w:trPr>
      <w:tc>
        <w:tcPr>
          <w:tcW w:type="dxa" w:w="24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40" w:lineRule="auto" w:before="0" w:after="0"/>
          </w:pPr>
          <w:r>
            <w:drawing>
              <wp:inline xmlns:a="http://schemas.openxmlformats.org/drawingml/2006/main" xmlns:pic="http://schemas.openxmlformats.org/drawingml/2006/picture">
                <wp:extent cx="1188000" cy="47273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refeitur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000" cy="47273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8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320" w:lineRule="auto" w:before="0" w:after="30"/>
          </w:pPr>
          <w:r>
            <w:rPr>
              <w:rFonts w:ascii="Cambria" w:hAnsi="Cambria" w:cs="Cambria"/>
              <w:b/>
              <w:i w:val="0"/>
              <w:color w:val="1F3864"/>
              <w:sz w:val="30"/>
              <w:u w:val="none"/>
            </w:rPr>
            <w:t>PREFEITURA MUNICIPAL DE OLIVEIRA</w:t>
          </w:r>
        </w:p>
        <w:p>
          <w:pPr>
            <w:jc w:val="left"/>
            <w:spacing w:line="300" w:lineRule="auto" w:before="0" w:after="30"/>
          </w:pPr>
          <w:r>
            <w:rPr>
              <w:rFonts w:ascii="Cambria" w:hAnsi="Cambria" w:cs="Cambria"/>
              <w:b/>
              <w:i w:val="0"/>
              <w:color w:val="1F3864"/>
              <w:sz w:val="18"/>
              <w:u w:val="none"/>
            </w:rPr>
            <w:t>Secretaria Municipal de Obras e Serviços Urbanos</w:t>
          </w:r>
        </w:p>
        <w:p>
          <w:pPr>
            <w:jc w:val="left"/>
            <w:spacing w:line="260" w:lineRule="auto" w:before="0" w:after="0"/>
          </w:pPr>
          <w:r>
            <w:rPr>
              <w:rFonts w:ascii="Calibri" w:hAnsi="Calibri" w:cs="Calibri"/>
              <w:b w:val="0"/>
              <w:i w:val="0"/>
              <w:color w:val="666666"/>
              <w:sz w:val="14"/>
              <w:u w:val="none"/>
            </w:rPr>
            <w:t>Praça XV de Novembro, 127  •  Centro  •  Oliveira/MG  •  (37) 3331-9800</w:t>
          </w:r>
        </w:p>
      </w:tc>
    </w:tr>
  </w:tbl>
  <w:p>
    <w:pPr>
      <w:spacing w:line="20" w:lineRule="auto" w:before="30" w:after="0"/>
      <w:pBdr>
        <w:bottom w:val="single" w:sz="4" w:color="AAAAAA" w:space="1"/>
      </w:pBdr>
    </w:pPr>
  </w:p>
  <w:p>
    <w:pPr>
      <w:spacing w:line="20" w:lineRule="auto" w:before="4" w:after="0"/>
      <w:pBdr>
        <w:bottom w:val="single" w:sz="18" w:color="1F3864" w:space="1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