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COMUNICADO DE PENDÊNCIA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TESTE-001  —  21 de abril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Comunicação de Pendência Documental (Fase Zero)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José da Silva Santos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ind w:firstLine="709"/>
        <w:jc w:val="both"/>
        <w:spacing w:line="276" w:lineRule="auto" w:before="24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 (SMOSU), por meio de seu Departamento Técnico, informa que o presente protocolo encontra-se desprovido dos documentos mínimos exigidos para o início da análise urbanística e técnica, conforme previsto na legislação vigente.</w:t>
      </w:r>
    </w:p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4" w:color="F2C94C" w:space="0"/>
          <w:bottom w:val="single" w:sz="4" w:color="F2C94C" w:space="0"/>
          <w:right w:val="single" w:sz="4" w:color="F2C94C" w:space="0"/>
          <w:left w:val="single" w:sz="18" w:color="F2C94C" w:space="0"/>
        </w:tblBorders>
      </w:tblPr>
      <w:tblGrid>
        <w:gridCol w:w="10206"/>
      </w:tblGrid>
      <w:tr>
        <w:tc>
          <w:tcPr>
            <w:tcW w:type="dxa" w:w="10206"/>
            <w:shd w:fill="FFFDF2" w:val="clear"/>
            <w:tcMar>
              <w:top w:w="100" w:type="dxa"/>
              <w:bottom w:w="100" w:type="dxa"/>
              <w:start w:w="150" w:type="dxa"/>
              <w:end w:w="100" w:type="dxa"/>
            </w:tcMar>
          </w:tcPr>
          <w:p>
            <w:pPr>
              <w:jc w:val="left"/>
              <w:spacing w:line="260" w:lineRule="auto" w:before="60" w:after="60"/>
            </w:pPr>
            <w:r>
              <w:rPr>
                <w:rFonts w:ascii="Cambria" w:hAnsi="Cambria" w:cs="Cambria"/>
                <w:b/>
                <w:i w:val="0"/>
                <w:color w:val="996515"/>
                <w:sz w:val="22"/>
                <w:u w:val="none"/>
              </w:rPr>
              <w:t>⚠  DOCUMENTOS PENDENTES — ANÁLISE SUSPENSA</w:t>
            </w:r>
          </w:p>
          <w:p>
            <w:pPr>
              <w:jc w:val="left"/>
              <w:spacing w:line="240" w:lineRule="auto" w:before="0" w:after="80"/>
            </w:pPr>
            <w:r>
              <w:rPr>
                <w:rFonts w:ascii="Calibri" w:hAnsi="Calibri" w:cs="Calibri"/>
                <w:b w:val="0"/>
                <w:i/>
                <w:color w:val="735C1F"/>
                <w:sz w:val="20"/>
                <w:u w:val="none"/>
              </w:rPr>
              <w:t>A análise técnica não pôde ser iniciada. Os documentos abaixo são imprescindíveis e devem ser apresentados para o prosseguimento do processo: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E67E22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Ausência de Planta Arquitetônica legível para a conferência das áreas e parâmetros;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E67E22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Ausência de Matrícula do Imóvel expedida pelo Serviço Registral de Imóveis (SRI);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E67E22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Ausência de Anotação ou Registro de Responsabilidade Técnica (ART/RRT) assinada pelo profissional responsável;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E67E22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Ausência de documentos pessoais de identificação civil (CPF/RG) da parte requerente;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E67E22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Ausência de comprovação de pagamento de guia de recolhimento de taxas municipais.</w:t>
            </w:r>
          </w:p>
        </w:tc>
      </w:tr>
    </w:tbl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4" w:color="81C784" w:space="0"/>
          <w:bottom w:val="single" w:sz="4" w:color="81C784" w:space="0"/>
          <w:right w:val="single" w:sz="4" w:color="81C784" w:space="0"/>
          <w:left w:val="single" w:sz="18" w:color="81C784" w:space="0"/>
        </w:tblBorders>
      </w:tblPr>
      <w:tblGrid>
        <w:gridCol w:w="10206"/>
      </w:tblGrid>
      <w:tr>
        <w:tc>
          <w:tcPr>
            <w:tcW w:type="dxa" w:w="10206"/>
            <w:shd w:fill="F5FCF5" w:val="clear"/>
            <w:tcMar>
              <w:top w:w="100" w:type="dxa"/>
              <w:bottom w:w="100" w:type="dxa"/>
              <w:start w:w="150" w:type="dxa"/>
              <w:end w:w="100" w:type="dxa"/>
            </w:tcMar>
          </w:tcPr>
          <w:p>
            <w:pPr>
              <w:jc w:val="left"/>
              <w:spacing w:line="260" w:lineRule="auto" w:before="60" w:after="40"/>
            </w:pPr>
            <w:r>
              <w:rPr>
                <w:rFonts w:ascii="Cambria" w:hAnsi="Cambria" w:cs="Cambria"/>
                <w:b/>
                <w:i w:val="0"/>
                <w:color w:val="2E7D32"/>
                <w:sz w:val="22"/>
                <w:u w:val="none"/>
              </w:rPr>
              <w:t>✔  COMO REGULARIZAR E RETOMAR O PROCESSO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1.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Reúna todos os documentos listados acima em sua versão original ou digitalizada com legibilidade plena.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2.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Dirija-se ao balcão do protocolo da Prefeitura Municipal de Oliveira ou acesse o portal digital (Atende.Net) para acostar os documentos ao processo.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3.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Após o recebimento e verificação documental, a análise técnica será reiniciada automaticamente, sem necessidade de novo requerimento.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4.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Em caso de dúvidas, entre em contato com o Setor Técnico da SMOSU (Secretaria Municipal de Obras e Serviços Urbanos).</w:t>
            </w:r>
          </w:p>
        </w:tc>
      </w:tr>
    </w:tbl>
    <w:p>
      <w:pPr>
        <w:spacing w:line="120" w:lineRule="auto" w:before="0" w:after="0"/>
      </w:pPr>
    </w:p>
    <w:p>
      <w:pPr>
        <w:ind w:firstLine="709"/>
        <w:jc w:val="both"/>
        <w:spacing w:line="276" w:lineRule="auto" w:before="120" w:after="120"/>
      </w:pPr>
      <w:r>
        <w:rPr>
          <w:rFonts w:ascii="Calibri" w:hAnsi="Calibri" w:cs="Calibri"/>
          <w:b w:val="0"/>
          <w:i w:val="0"/>
          <w:sz w:val="22"/>
          <w:u w:val="none"/>
        </w:rPr>
        <w:t>Diante da totalidade de ausência documental identificada na triagem inicial, a emissão de qualquer parecer de mérito fica absolutamente inviável. O processo encontra-se sobrestado até a devida anexação dos documentos listados, permitindo assim o andamento correto da aprovação.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2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0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36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