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TESTE-002/2026  —  22 de abril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Alvará de Reforma e Ampliação — Teste de Regressão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FULANO DA SILVA TESTE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das Acácias, 100 -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00.00.000.0000.000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FULANO DA SILVA TESTE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ENGENHEIRO TESTE DA SILVA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001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001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300,00m²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150,00m²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50,00%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0,50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25,00%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zona_uso]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art_rrt]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O presente processo documenta o requerimento de aprovação de projeto de reforma e ampliação de edificação residencial unifamiliar situada no </w:t>
      </w:r>
      <w:r>
        <w:rPr>
          <w:rFonts w:ascii="Calibri" w:hAnsi="Calibri" w:cs="Calibri"/>
          <w:b/>
          <w:i w:val="0"/>
          <w:sz w:val="22"/>
          <w:u w:val="none"/>
        </w:rPr>
        <w:t>Centro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do Município. Este é um </w:t>
      </w:r>
      <w:r>
        <w:rPr>
          <w:rFonts w:ascii="Calibri" w:hAnsi="Calibri" w:cs="Calibri"/>
          <w:b/>
          <w:i w:val="0"/>
          <w:sz w:val="22"/>
          <w:u w:val="none"/>
        </w:rPr>
        <w:t>caso de teste de regressão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do Motor GEM, destinado a verificar se o engine de compilação continua gerando o documento corretamente após alterações no código.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a documentação apresentada encontra-se completa, com matrícula do imóvel (</w:t>
      </w:r>
      <w:r>
        <w:rPr>
          <w:rFonts w:ascii="Calibri" w:hAnsi="Calibri" w:cs="Calibri"/>
          <w:b/>
          <w:i w:val="0"/>
          <w:sz w:val="22"/>
          <w:u w:val="none"/>
        </w:rPr>
        <w:t>Matrícula nº 00.001</w:t>
      </w:r>
      <w:r>
        <w:rPr>
          <w:rFonts w:ascii="Calibri" w:hAnsi="Calibri" w:cs="Calibri"/>
          <w:b w:val="0"/>
          <w:i w:val="0"/>
          <w:sz w:val="22"/>
          <w:u w:val="none"/>
        </w:rPr>
        <w:t>), ART de projeto (</w:t>
      </w:r>
      <w:r>
        <w:rPr>
          <w:rFonts w:ascii="Calibri" w:hAnsi="Calibri" w:cs="Calibri"/>
          <w:b/>
          <w:i w:val="0"/>
          <w:sz w:val="22"/>
          <w:u w:val="none"/>
        </w:rPr>
        <w:t>ART 000001</w:t>
      </w:r>
      <w:r>
        <w:rPr>
          <w:rFonts w:ascii="Calibri" w:hAnsi="Calibri" w:cs="Calibri"/>
          <w:b w:val="0"/>
          <w:i w:val="0"/>
          <w:sz w:val="22"/>
          <w:u w:val="none"/>
        </w:rPr>
        <w:t>) e ART de execução (</w:t>
      </w:r>
      <w:r>
        <w:rPr>
          <w:rFonts w:ascii="Calibri" w:hAnsi="Calibri" w:cs="Calibri"/>
          <w:b/>
          <w:i w:val="0"/>
          <w:sz w:val="22"/>
          <w:u w:val="none"/>
        </w:rPr>
        <w:t>ART 000002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) devidamente registradas, e comprovante de recolhimento de taxa municipal no valor de </w:t>
      </w:r>
      <w:r>
        <w:rPr>
          <w:rFonts w:ascii="Calibri" w:hAnsi="Calibri" w:cs="Calibri"/>
          <w:b/>
          <w:i w:val="0"/>
          <w:sz w:val="22"/>
          <w:u w:val="none"/>
        </w:rPr>
        <w:t>R$ 500,00</w:t>
      </w:r>
      <w:r>
        <w:rPr>
          <w:rFonts w:ascii="Calibri" w:hAnsi="Calibri" w:cs="Calibri"/>
          <w:b w:val="0"/>
          <w:i w:val="0"/>
          <w:sz w:val="22"/>
          <w:u w:val="none"/>
        </w:rPr>
        <w:t>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 terreno possui área de </w:t>
      </w:r>
      <w:r>
        <w:rPr>
          <w:rFonts w:ascii="Calibri" w:hAnsi="Calibri" w:cs="Calibri"/>
          <w:b/>
          <w:i w:val="0"/>
          <w:sz w:val="22"/>
          <w:u w:val="none"/>
        </w:rPr>
        <w:t>300,00m²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superior ao limite de </w:t>
      </w:r>
      <w:r>
        <w:rPr>
          <w:rFonts w:ascii="Calibri" w:hAnsi="Calibri" w:cs="Calibri"/>
          <w:b/>
          <w:i w:val="0"/>
          <w:sz w:val="22"/>
          <w:u w:val="none"/>
        </w:rPr>
        <w:t>220,00m²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de modo que não se aplica a isenção do </w:t>
      </w:r>
      <w:r>
        <w:rPr>
          <w:rFonts w:ascii="Calibri" w:hAnsi="Calibri" w:cs="Calibri"/>
          <w:b w:val="0"/>
          <w:i/>
          <w:sz w:val="22"/>
          <w:u w:val="none"/>
        </w:rPr>
        <w:t>§13 do Art. 9º da Lei Complementar nº 267/2019</w:t>
      </w:r>
      <w:r>
        <w:rPr>
          <w:rFonts w:ascii="Calibri" w:hAnsi="Calibri" w:cs="Calibri"/>
          <w:b w:val="0"/>
          <w:i w:val="0"/>
          <w:sz w:val="22"/>
          <w:u w:val="none"/>
        </w:rPr>
        <w:t>, submetendo-se o projeto à verificação integral dos parâmetros da zona;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o projeto respeita integralmente os parâmetros urbanísticos da zona, com </w:t>
      </w:r>
      <w:r>
        <w:rPr>
          <w:rFonts w:ascii="Calibri" w:hAnsi="Calibri" w:cs="Calibri"/>
          <w:b/>
          <w:i w:val="0"/>
          <w:sz w:val="22"/>
          <w:u w:val="none"/>
        </w:rPr>
        <w:t>Taxa de Ocupação de 50,00%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(máximo permitido: 70%) e </w:t>
      </w:r>
      <w:r>
        <w:rPr>
          <w:rFonts w:ascii="Calibri" w:hAnsi="Calibri" w:cs="Calibri"/>
          <w:b/>
          <w:i w:val="0"/>
          <w:sz w:val="22"/>
          <w:u w:val="none"/>
        </w:rPr>
        <w:t>Taxa de Permeabilidade de 25,00%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(mínimo exigido: 20%), ambos conformes com a </w:t>
      </w:r>
      <w:r>
        <w:rPr>
          <w:rFonts w:ascii="Calibri" w:hAnsi="Calibri" w:cs="Calibri"/>
          <w:b w:val="0"/>
          <w:i/>
          <w:sz w:val="22"/>
          <w:u w:val="none"/>
        </w:rPr>
        <w:t>Lei Complementar nº 267/2019</w:t>
      </w:r>
      <w:r>
        <w:rPr>
          <w:rFonts w:ascii="Calibri" w:hAnsi="Calibri" w:cs="Calibri"/>
          <w:b w:val="0"/>
          <w:i w:val="0"/>
          <w:sz w:val="22"/>
          <w:u w:val="none"/>
        </w:rPr>
        <w:t>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nenhuma infração foi constatada — a obra ainda não foi iniciada —, não incidindo multas ou penalidades nos termos do </w:t>
      </w:r>
      <w:r>
        <w:rPr>
          <w:rFonts w:ascii="Calibri" w:hAnsi="Calibri" w:cs="Calibri"/>
          <w:b w:val="0"/>
          <w:i/>
          <w:sz w:val="22"/>
          <w:u w:val="none"/>
        </w:rPr>
        <w:t>Art. 79 da Lei nº 1.544/86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DA ANÁLISE LEGAL E TÉCNICA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análise técnica pautou-se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1.544/86),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267/19) e no </w:t>
      </w:r>
      <w:r>
        <w:rPr>
          <w:rFonts w:ascii="Calibri" w:hAnsi="Calibri" w:cs="Calibri"/>
          <w:b/>
          <w:i w:val="0"/>
          <w:sz w:val="22"/>
          <w:u w:val="none"/>
        </w:rPr>
        <w:t>Decreto nº 4.149/19</w:t>
      </w:r>
      <w:r>
        <w:rPr>
          <w:rFonts w:ascii="Calibri" w:hAnsi="Calibri" w:cs="Calibri"/>
          <w:b w:val="0"/>
          <w:i w:val="0"/>
          <w:sz w:val="22"/>
          <w:u w:val="none"/>
        </w:rPr>
        <w:t>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Lei Complementar nº 267/2019 (Uso e Ocupação do Solo)</w:t>
      </w:r>
      <w:r>
        <w:rPr>
          <w:rFonts w:ascii="Calibri" w:hAnsi="Calibri" w:cs="Calibri"/>
          <w:b w:val="0"/>
          <w:i w:val="0"/>
          <w:sz w:val="22"/>
          <w:u w:val="none"/>
        </w:rPr>
        <w:t>: Os parâmetros de Taxa de Ocupação (50,00%) e Taxa de Permeabilidade (25,00%) encontram-se dentro dos limites admitidos pela zona, conferindo regularidade urbanística ao projeto.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Art. 79 da Lei Municipal nº 1.544/86 (Código de Obras)</w:t>
      </w:r>
      <w:r>
        <w:rPr>
          <w:rFonts w:ascii="Calibri" w:hAnsi="Calibri" w:cs="Calibri"/>
          <w:b w:val="0"/>
          <w:i w:val="0"/>
          <w:sz w:val="22"/>
          <w:u w:val="none"/>
        </w:rPr>
        <w:t>: Inaplicável ao caso, pois o parecer fiscal atestou que a obra ainda não foi iniciada, afastando a incidência de penalidades pecuniárias.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>: A documentação e o recolhimento de taxas satisfazem os requisitos procedimentais para aprovação de projeto.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do exposto, profiro parecer técnico </w:t>
      </w:r>
      <w:r>
        <w:rPr>
          <w:rFonts w:ascii="Calibri" w:hAnsi="Calibri" w:cs="Calibri"/>
          <w:b/>
          <w:i w:val="0"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ao deferimento da solicitação de Alvará de Reforma e Ampliação. </w:t>
      </w:r>
      <w:r>
        <w:rPr>
          <w:rFonts w:ascii="Calibri" w:hAnsi="Calibri" w:cs="Calibri"/>
          <w:b/>
          <w:i w:val="0"/>
          <w:sz w:val="22"/>
          <w:u w:val="none"/>
        </w:rPr>
        <w:t>[TESTE DE REGRESSÃO — este documento foi gerado automaticamente para verificação do engine]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Reforma e Ampliação (Área resultante: 150,00m²)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 xml:space="preserve">Validade de </w:t>
      </w:r>
      <w:r>
        <w:rPr>
          <w:rFonts w:ascii="Calibri" w:hAnsi="Calibri" w:cs="Calibri"/>
          <w:b/>
          <w:i/>
          <w:color w:val="444444"/>
          <w:sz w:val="22"/>
          <w:u w:val="none"/>
        </w:rPr>
        <w:t>01 (um) ano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 xml:space="preserve"> a contar da emissão, nos termos do </w:t>
      </w:r>
      <w:r>
        <w:rPr>
          <w:rFonts w:ascii="Calibri" w:hAnsi="Calibri" w:cs="Calibri"/>
          <w:b w:val="0"/>
          <w:i w:val="0"/>
          <w:color w:val="444444"/>
          <w:sz w:val="22"/>
          <w:u w:val="none"/>
        </w:rPr>
        <w:t>Art. 9º da Lei nº 1.544/86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2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