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TESTE-003/2026  —  22 de abril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Averbação por Decadência Administrativa — Teste de Regressão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BELTRANA OLIVEIRA TESTE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A Secretaria Municipal de Obras e Serviços Urbanos (SMOSU) certifica, para os devidos fins de </w:t>
      </w:r>
      <w:r>
        <w:rPr>
          <w:rFonts w:ascii="Calibri" w:hAnsi="Calibri" w:cs="Calibri"/>
          <w:b/>
          <w:i w:val="0"/>
          <w:sz w:val="22"/>
          <w:u w:val="none"/>
        </w:rPr>
        <w:t>averbação cartorária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a ocorrência da decadência administrativa sobre a edificação sita na </w:t>
      </w:r>
      <w:r>
        <w:rPr>
          <w:rFonts w:ascii="Calibri" w:hAnsi="Calibri" w:cs="Calibri"/>
          <w:b/>
          <w:i w:val="0"/>
          <w:sz w:val="22"/>
          <w:u w:val="none"/>
        </w:rPr>
        <w:t>Av. Brasil, nº 500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Bairro Santo Antônio. Este é um </w:t>
      </w:r>
      <w:r>
        <w:rPr>
          <w:rFonts w:ascii="Calibri" w:hAnsi="Calibri" w:cs="Calibri"/>
          <w:b/>
          <w:i w:val="0"/>
          <w:sz w:val="22"/>
          <w:u w:val="none"/>
        </w:rPr>
        <w:t>caso de teste de regressão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do Motor GEM para verificação do gerador de parecer simples.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edificação em questão apresenta evidências robustas de conclusão há mais de </w:t>
      </w:r>
      <w:r>
        <w:rPr>
          <w:rFonts w:ascii="Calibri" w:hAnsi="Calibri" w:cs="Calibri"/>
          <w:b/>
          <w:i w:val="0"/>
          <w:sz w:val="22"/>
          <w:u w:val="none"/>
        </w:rPr>
        <w:t>5 (cinco) anos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ininterruptos, constatadas por meio de imagens de aerofotogrametria do acervo municipal e declarações de confrontantes;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aplica-se ao caso a </w:t>
      </w:r>
      <w:r>
        <w:rPr>
          <w:rFonts w:ascii="Calibri" w:hAnsi="Calibri" w:cs="Calibri"/>
          <w:b w:val="0"/>
          <w:i/>
          <w:sz w:val="22"/>
          <w:u w:val="none"/>
        </w:rPr>
        <w:t>decadência administrativa prevista no Art. 150, §4º da Lei nº 5.172/1966 (CTN)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que afasta a cobrança de multas sobre a área edificada há mais de 5 anos, no total de </w:t>
      </w:r>
      <w:r>
        <w:rPr>
          <w:rFonts w:ascii="Calibri" w:hAnsi="Calibri" w:cs="Calibri"/>
          <w:b/>
          <w:i w:val="0"/>
          <w:sz w:val="22"/>
          <w:u w:val="none"/>
        </w:rPr>
        <w:t>90,00m²</w:t>
      </w:r>
      <w:r>
        <w:rPr>
          <w:rFonts w:ascii="Calibri" w:hAnsi="Calibri" w:cs="Calibri"/>
          <w:b w:val="0"/>
          <w:i w:val="0"/>
          <w:sz w:val="22"/>
          <w:u w:val="none"/>
        </w:rPr>
        <w:t>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o terreno possui área de </w:t>
      </w:r>
      <w:r>
        <w:rPr>
          <w:rFonts w:ascii="Calibri" w:hAnsi="Calibri" w:cs="Calibri"/>
          <w:b/>
          <w:i w:val="0"/>
          <w:sz w:val="22"/>
          <w:u w:val="none"/>
        </w:rPr>
        <w:t>180,00m²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inferior ao limite de </w:t>
      </w:r>
      <w:r>
        <w:rPr>
          <w:rFonts w:ascii="Calibri" w:hAnsi="Calibri" w:cs="Calibri"/>
          <w:b/>
          <w:i w:val="0"/>
          <w:sz w:val="22"/>
          <w:u w:val="none"/>
        </w:rPr>
        <w:t>220,00m²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configurando a isenção de afastamentos prevista no </w:t>
      </w:r>
      <w:r>
        <w:rPr>
          <w:rFonts w:ascii="Calibri" w:hAnsi="Calibri" w:cs="Calibri"/>
          <w:b w:val="0"/>
          <w:i/>
          <w:sz w:val="22"/>
          <w:u w:val="none"/>
        </w:rPr>
        <w:t>§13 do Art. 9º da Lei Complementar nº 267/2019</w:t>
      </w:r>
      <w:r>
        <w:rPr>
          <w:rFonts w:ascii="Calibri" w:hAnsi="Calibri" w:cs="Calibri"/>
          <w:b w:val="0"/>
          <w:i w:val="0"/>
          <w:sz w:val="22"/>
          <w:u w:val="none"/>
        </w:rPr>
        <w:t>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Certifica-se a </w:t>
      </w:r>
      <w:r>
        <w:rPr>
          <w:rFonts w:ascii="Calibri" w:hAnsi="Calibri" w:cs="Calibri"/>
          <w:b/>
          <w:i w:val="0"/>
          <w:sz w:val="22"/>
          <w:u w:val="none"/>
        </w:rPr>
        <w:t>decadência administrativa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sobre os </w:t>
      </w:r>
      <w:r>
        <w:rPr>
          <w:rFonts w:ascii="Calibri" w:hAnsi="Calibri" w:cs="Calibri"/>
          <w:b/>
          <w:i w:val="0"/>
          <w:sz w:val="22"/>
          <w:u w:val="none"/>
        </w:rPr>
        <w:t>90,00m²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da edificação, ficando autorizada a averbação no Cartório de Registro de Imóveis competente. </w:t>
      </w:r>
      <w:r>
        <w:rPr>
          <w:rFonts w:ascii="Calibri" w:hAnsi="Calibri" w:cs="Calibri"/>
          <w:b/>
          <w:i w:val="0"/>
          <w:sz w:val="22"/>
          <w:u w:val="none"/>
        </w:rPr>
        <w:t>[TESTE DE REGRESSÃO — documento gerado automaticamente para verificação do engine]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2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0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36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