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4702"/>
        <w:gridCol w:w="4702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TESTE-LIVRE-001  —  29 de abril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Aprovação de Projeto Residencial — Teste do Modo Livre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DE FÁTIMA SOUZA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Coronel Alves, nº 123 -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01.01.001.0001.001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MARIA DE FÁTIMA SOUZA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Engenheiro Civil João Pedro Alves — CREA 123.456/D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300,00m²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180,00m²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60,00%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0,60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25,00%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Trata o presente processo do pedido de aprovação de projeto arquitetônico para construção de residência unifamiliar de uso exclusivo, localizada na Rua Coronel Alves, nº 123, Bairro Centro, nesta municipalidade.</w:t>
      </w:r>
    </w:p>
    <w:p>
      <w:pPr>
        <w:jc w:val="left"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DADOS DO PROJETO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projeto foi elaborado sob a responsabilidade técnica do Engenheiro Civil João Pedro Alves, devidamente registrado no CREA-MG sob o nº 123.456/D, com emissão de Anotação de Responsabilidade Técnica (ART) para projeto e execução.</w:t>
      </w:r>
    </w:p>
    <w:p>
      <w:pPr>
        <w:jc w:val="left"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CONFORMIDADE COM A LEGISLAÇÃO MUNICIPAL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Após análise técnica detalhada do projeto apresentado, constata-se que todos os parâmetros urbanísticos exigidos pela Lei Complementar nº 267/2019 foram integralmente atendidos, notadamente: Taxa de Ocupação de </w:t>
      </w:r>
      <w:r>
        <w:rPr>
          <w:rFonts w:ascii="Calibri" w:hAnsi="Calibri" w:cs="Calibri"/>
          <w:b/>
          <w:i w:val="0"/>
          <w:sz w:val="22"/>
          <w:u w:val="none"/>
        </w:rPr>
        <w:t>60,00%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(limite: 70%), Coeficiente de Aproveitamento de </w:t>
      </w:r>
      <w:r>
        <w:rPr>
          <w:rFonts w:ascii="Calibri" w:hAnsi="Calibri" w:cs="Calibri"/>
          <w:b/>
          <w:i w:val="0"/>
          <w:sz w:val="22"/>
          <w:u w:val="none"/>
        </w:rPr>
        <w:t>0,60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(limite: 3,5 para ZC), e Taxa de Permeabilidade de </w:t>
      </w:r>
      <w:r>
        <w:rPr>
          <w:rFonts w:ascii="Calibri" w:hAnsi="Calibri" w:cs="Calibri"/>
          <w:b/>
          <w:i w:val="0"/>
          <w:sz w:val="22"/>
          <w:u w:val="none"/>
        </w:rPr>
        <w:t>25,00%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(mínimo: 20%). Os recuos frontais e laterais também atendem às exigências da zona de uso.</w:t>
      </w:r>
    </w:p>
    <w:p>
      <w:pPr>
        <w:jc w:val="left"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CONCLUSÃO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do exposto, tendo sido verificada a conformidade técnica e urbanística do projeto apresentado com a legislação municipal vigente, manifesta-se </w:t>
      </w:r>
      <w:r>
        <w:rPr>
          <w:rFonts w:ascii="Calibri" w:hAnsi="Calibri" w:cs="Calibri"/>
          <w:b/>
          <w:i w:val="0"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aprovação, podendo ser emitido o respectivo Alvará de Construção.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verificada a conformidade do projeto com os parâmetros urbanísticos vigentes, manifesta-se FAVORÁVEL à aprovação, podendo ser emitido o Alvará de Construção.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— 180,00m²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Validade de 2 anos a partir da emissão. Execução sob ART nº 123.456.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