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[Página 1]</w:t>
      </w:r>
    </w:p>
    <w:p>
      <w:r>
        <w:t xml:space="preserve">CUENCA FABRICA: Ricaurte sector El Tablón Conmutadores: 2890144 / 2890753 Fax: (07) 2890499 P.O.BOX: 252 </w:t>
        <w:br/>
        <w:t xml:space="preserve">GUAYAQUIL: F.de Orellana y Justino Cornejo Edif. Torre Atlas Piso 4 Of.  No. 4  Ciud. Kenedy Telf: 2285132 Fax: (04)288069 Bod 09-8063628 </w:t>
        <w:br/>
        <w:t xml:space="preserve">QUITO: Catalina Aldaz 34230 y Portugal  Telfs.: 2550718 / 2554713  Bodega Telefax.: 2690884 </w:t>
        <w:br/>
        <w:t xml:space="preserve">www.plasticosrival.com   email: contabilidad@plasticosrival.com </w:t>
        <w:br/>
        <w:t xml:space="preserve"> </w:t>
        <w:br/>
        <w:t xml:space="preserve"> </w:t>
        <w:br/>
        <w:t xml:space="preserve"> </w:t>
        <w:br/>
        <w:t xml:space="preserve">INFORME DE GERENCIA CORRESPONDIENTE AL PERIODO ECONOMICO </w:t>
        <w:br/>
        <w:t xml:space="preserve">COMPRENDIDO ENTRE 1 DE ENERO AL 31 DE DICIEMBRE DEL 2022. </w:t>
        <w:br/>
        <w:t xml:space="preserve"> </w:t>
        <w:br/>
        <w:t xml:space="preserve"> </w:t>
        <w:br/>
        <w:t xml:space="preserve"> </w:t>
        <w:br/>
        <w:t xml:space="preserve">Para dar cumplimiento a los estatutos vigentes, así como a disposiciones legales, pongo </w:t>
        <w:br/>
        <w:t xml:space="preserve">a consideración de la Junta General de Accionistas, el presente informe que resume los </w:t>
        <w:br/>
        <w:t xml:space="preserve">aspectos más importantes del ejercicio económico 2022.  </w:t>
        <w:br/>
        <w:t xml:space="preserve"> </w:t>
        <w:br/>
        <w:t xml:space="preserve"> </w:t>
        <w:br/>
        <w:t xml:space="preserve">A continuación, presento un cuadro consolidado del Estado de Resultados comparado </w:t>
        <w:br/>
        <w:t xml:space="preserve">con el año anterior y otro analizado en relación con las ventas. </w:t>
        <w:br/>
        <w:t xml:space="preserve"> </w:t>
        <w:br/>
        <w:t xml:space="preserve"> </w:t>
        <w:br/>
        <w:t>DETALLE</w:t>
        <w:br/>
        <w:t>2022</w:t>
        <w:br/>
        <w:t>2021</w:t>
        <w:br/>
        <w:t>Variación %</w:t>
        <w:br/>
        <w:t>Ventas</w:t>
        <w:br/>
        <w:t xml:space="preserve">102,498,511.76 </w:t>
        <w:br/>
        <w:t xml:space="preserve">    </w:t>
        <w:br/>
        <w:t xml:space="preserve">88,090,468.12 </w:t>
        <w:br/>
        <w:t xml:space="preserve">      </w:t>
        <w:br/>
        <w:t>16.36%</w:t>
        <w:br/>
        <w:t>Costo de Ventas</w:t>
        <w:br/>
        <w:t xml:space="preserve">76,219,561.19 </w:t>
        <w:br/>
        <w:t xml:space="preserve">-      </w:t>
        <w:br/>
        <w:t xml:space="preserve">70,549,349.26 </w:t>
        <w:br/>
        <w:t xml:space="preserve">-      </w:t>
        <w:br/>
        <w:t>8.04%</w:t>
        <w:br/>
        <w:t>Utilidad Bruta</w:t>
        <w:br/>
        <w:t xml:space="preserve">26,278,950.57 </w:t>
        <w:br/>
        <w:t xml:space="preserve">      </w:t>
        <w:br/>
        <w:t xml:space="preserve">17,541,118.86 </w:t>
        <w:br/>
        <w:t xml:space="preserve">      </w:t>
        <w:br/>
        <w:t>49.81%</w:t>
        <w:br/>
        <w:t>Gastos de Administración y Ventas</w:t>
        <w:br/>
        <w:t xml:space="preserve">13,944,011.13 </w:t>
        <w:br/>
        <w:t xml:space="preserve">-      </w:t>
        <w:br/>
        <w:t xml:space="preserve">11,527,318.85 </w:t>
        <w:br/>
        <w:t xml:space="preserve">-      </w:t>
        <w:br/>
        <w:t>20.96%</w:t>
        <w:br/>
        <w:t>Gastos Financieros</w:t>
        <w:br/>
        <w:t xml:space="preserve">3,392,439.41 </w:t>
        <w:br/>
        <w:t xml:space="preserve">-        </w:t>
        <w:br/>
        <w:t xml:space="preserve">2,926,666.34 </w:t>
        <w:br/>
        <w:t xml:space="preserve">-        </w:t>
        <w:br/>
        <w:t>15.91%</w:t>
        <w:br/>
        <w:t>Utilidad antes de Impuestos</w:t>
        <w:br/>
        <w:t xml:space="preserve">8,942,500.03 </w:t>
        <w:br/>
        <w:t xml:space="preserve">        </w:t>
        <w:br/>
        <w:t xml:space="preserve">3,087,133.67 </w:t>
        <w:br/>
        <w:t xml:space="preserve">        </w:t>
        <w:br/>
        <w:t>189.67%</w:t>
        <w:br/>
        <w:t xml:space="preserve">Estado de Pérdidas y Ganancias </w:t>
        <w:br/>
        <w:t>Comparativo años 2022 y 2021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Estado de Pérdidas y Ganancias </w:t>
        <w:br/>
        <w:t xml:space="preserve">Costos, Gastos y Utilidad en relación a las Ventas </w:t>
        <w:br/>
        <w:t xml:space="preserve">DETALLE </w:t>
        <w:br/>
        <w:t xml:space="preserve">2022 </w:t>
        <w:br/>
        <w:t xml:space="preserve">Variación </w:t>
        <w:br/>
        <w:t xml:space="preserve">% </w:t>
        <w:br/>
        <w:t xml:space="preserve">2021 </w:t>
        <w:br/>
        <w:t xml:space="preserve">Variación </w:t>
        <w:br/>
        <w:t xml:space="preserve">% </w:t>
        <w:br/>
        <w:t xml:space="preserve">Ventas </w:t>
        <w:br/>
        <w:t xml:space="preserve">  102,498,511.76    </w:t>
        <w:br/>
        <w:t xml:space="preserve">  88,090,468.12    </w:t>
        <w:br/>
        <w:t xml:space="preserve">Costo de Ventas </w:t>
        <w:br/>
        <w:t xml:space="preserve">-   76,219,561.19  </w:t>
        <w:br/>
        <w:t xml:space="preserve">-74.36% - 70,549,349.26  </w:t>
        <w:br/>
        <w:t xml:space="preserve">-80.09% </w:t>
        <w:br/>
        <w:t xml:space="preserve">Utilidad Bruta </w:t>
        <w:br/>
        <w:t xml:space="preserve">    26,278,950.57  </w:t>
        <w:br/>
        <w:t xml:space="preserve">25.64%   17,541,118.86  </w:t>
        <w:br/>
        <w:t xml:space="preserve">19.91% </w:t>
        <w:br/>
        <w:t xml:space="preserve">Gastos de Administración y Ventas </w:t>
        <w:br/>
        <w:t xml:space="preserve">-   13,944,011.13  </w:t>
        <w:br/>
        <w:t xml:space="preserve">-13.60% - 11,527,318.85  </w:t>
        <w:br/>
        <w:t xml:space="preserve">-13.09% </w:t>
        <w:br/>
        <w:t xml:space="preserve">Gastos Financieros </w:t>
        <w:br/>
        <w:t xml:space="preserve">-     3,392,439.41  </w:t>
        <w:br/>
        <w:t xml:space="preserve">-3.31% -   2,926,666.34  </w:t>
        <w:br/>
        <w:t xml:space="preserve">-3.32% </w:t>
        <w:br/>
        <w:t xml:space="preserve">Utilidad antes de Impuestos </w:t>
        <w:br/>
        <w:t xml:space="preserve">      8,942,500.03  </w:t>
        <w:br/>
        <w:t xml:space="preserve">8.72%     3,087,133.67  </w:t>
        <w:br/>
        <w:t xml:space="preserve">3.50%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En cuanto al Estado de Situación Financiera, a continuación, presento la evolución del </w:t>
        <w:br/>
        <w:t>mismo respecto del período 2021</w:t>
      </w:r>
    </w:p>
    <w:p>
      <w:r>
        <w:t>[Página 2]</w:t>
      </w:r>
    </w:p>
    <w:p>
      <w:r>
        <w:t xml:space="preserve">CUENCA FABRICA: Ricaurte sector El Tablón Conmutadores: 2890144 / 2890753 Fax: (07) 2890499 P.O.BOX: 252 </w:t>
        <w:br/>
        <w:t xml:space="preserve">GUAYAQUIL: F.de Orellana y Justino Cornejo Edif. Torre Atlas Piso 4 Of.  No. 4  Ciud. Kenedy Telf: 2285132 Fax: (04)288069 Bod 09-8063628 </w:t>
        <w:br/>
        <w:t xml:space="preserve">QUITO: Catalina Aldaz 34230 y Portugal  Telfs.: 2550718 / 2554713  Bodega Telefax.: 2690884 </w:t>
        <w:br/>
        <w:t xml:space="preserve">www.plasticosrival.com   email: contabilidad@plasticosrival.com </w:t>
        <w:br/>
        <w:t xml:space="preserve"> </w:t>
        <w:br/>
        <w:t xml:space="preserve"> </w:t>
        <w:br/>
        <w:t xml:space="preserve">2022 </w:t>
        <w:br/>
        <w:t xml:space="preserve">2021 </w:t>
        <w:br/>
        <w:t xml:space="preserve"> Variacion </w:t>
        <w:br/>
        <w:t xml:space="preserve">%  </w:t>
        <w:br/>
        <w:t xml:space="preserve">ACTIVO </w:t>
        <w:br/>
        <w:t xml:space="preserve"> </w:t>
        <w:br/>
        <w:t xml:space="preserve"> </w:t>
        <w:br/>
        <w:t xml:space="preserve"> </w:t>
        <w:br/>
        <w:t xml:space="preserve">Activo Corriente </w:t>
        <w:br/>
        <w:t xml:space="preserve">53,442,109.16 </w:t>
        <w:br/>
        <w:t xml:space="preserve">50,098,169.38 </w:t>
        <w:br/>
        <w:t xml:space="preserve">6.67% </w:t>
        <w:br/>
        <w:t xml:space="preserve">Activo No </w:t>
        <w:br/>
        <w:t xml:space="preserve">Corriente </w:t>
        <w:br/>
        <w:t xml:space="preserve">68,595,413.95 </w:t>
        <w:br/>
        <w:t xml:space="preserve">65,483,008.01 </w:t>
        <w:br/>
        <w:t xml:space="preserve">4.75% </w:t>
        <w:br/>
        <w:t xml:space="preserve">Activo Total  </w:t>
        <w:br/>
        <w:t xml:space="preserve">122,037,523.11 115,581,177.39 </w:t>
        <w:br/>
        <w:t xml:space="preserve">5.59%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PASIVO </w:t>
        <w:br/>
        <w:t xml:space="preserve"> </w:t>
        <w:br/>
        <w:t xml:space="preserve"> </w:t>
        <w:br/>
        <w:t xml:space="preserve"> </w:t>
        <w:br/>
        <w:t xml:space="preserve">Pasivo Corriente </w:t>
        <w:br/>
        <w:t xml:space="preserve">37,050,816.92 </w:t>
        <w:br/>
        <w:t xml:space="preserve">34,708,412.22 </w:t>
        <w:br/>
        <w:t xml:space="preserve">6.75% </w:t>
        <w:br/>
        <w:t xml:space="preserve">Pasivo No </w:t>
        <w:br/>
        <w:t xml:space="preserve">Corriente </w:t>
        <w:br/>
        <w:t xml:space="preserve">25,267,372.04 </w:t>
        <w:br/>
        <w:t xml:space="preserve">26,884,736.89 </w:t>
        <w:br/>
        <w:t xml:space="preserve">-6.02% </w:t>
        <w:br/>
        <w:t xml:space="preserve">Patrimonio </w:t>
        <w:br/>
        <w:t xml:space="preserve">59,719,334.15 </w:t>
        <w:br/>
        <w:t xml:space="preserve">53,988,028.28 </w:t>
        <w:br/>
        <w:t xml:space="preserve">10.62% </w:t>
        <w:br/>
        <w:t xml:space="preserve">Total Pasivo y </w:t>
        <w:br/>
        <w:t xml:space="preserve">Patrimonio  </w:t>
        <w:br/>
        <w:t xml:space="preserve">122,037,523.11 115,581,177.39 </w:t>
        <w:br/>
        <w:t xml:space="preserve">5.59%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Capital de </w:t>
        <w:br/>
        <w:t xml:space="preserve">Trabajo  </w:t>
        <w:br/>
        <w:t xml:space="preserve">16,391,292.24 </w:t>
        <w:br/>
        <w:t xml:space="preserve">15,389,757.16 </w:t>
        <w:br/>
        <w:t xml:space="preserve"> </w:t>
        <w:br/>
        <w:t xml:space="preserve">Indice de </w:t>
        <w:br/>
        <w:t xml:space="preserve">Endeudamiento  </w:t>
        <w:br/>
        <w:t xml:space="preserve">             1.44 </w:t>
        <w:br/>
        <w:t xml:space="preserve">             1.44 </w:t>
        <w:br/>
        <w:t xml:space="preserve"> </w:t>
        <w:br/>
        <w:t xml:space="preserve">Hechos Relevantes: </w:t>
        <w:br/>
        <w:t xml:space="preserve"> </w:t>
        <w:br/>
        <w:t xml:space="preserve">Como hechos relevantes de este año 2022 cabe destacar que, la empresa experimentó </w:t>
        <w:br/>
        <w:t xml:space="preserve">un incremento en las ventas de 16%, sin embargo, el costo subió únicamente un 8%, lo </w:t>
        <w:br/>
        <w:t xml:space="preserve">que, fue el factor que permitió que la utilidad neta incrementara, con respecto al año </w:t>
        <w:br/>
        <w:t xml:space="preserve">anterior en un 189%, debido a la disminución en el costo de las materias primas.   </w:t>
        <w:br/>
        <w:t xml:space="preserve"> </w:t>
        <w:br/>
        <w:t xml:space="preserve">Los costos financieros se mantienen en el 3% con respecto a las ventas, aunque cabe </w:t>
        <w:br/>
        <w:t xml:space="preserve">anotar que se incrementó en valor, esto debido a que, durante este año, la compañía </w:t>
        <w:br/>
        <w:t xml:space="preserve">recibió notas de crédito desmaterializadas por la recuperación en el mes de septiembre, </w:t>
        <w:br/>
        <w:t xml:space="preserve">del crédito tributario por retenciones de impuesto a la renta e ISD acumulados de años </w:t>
        <w:br/>
        <w:t xml:space="preserve">anteriores, por un valor de $ 5,712,975.22, representando más del 98% del valor </w:t>
        <w:br/>
        <w:t xml:space="preserve">solicitado, $5,807,727.39, valores que fueron comercializados con descuento, lo que </w:t>
        <w:br/>
        <w:t xml:space="preserve">generó aproximadamente un punto porcentual adicional a los gastos financieros con </w:t>
        <w:br/>
        <w:t xml:space="preserve">relación al endeudamiento final y menos de medio punto con relación a las ventas  </w:t>
        <w:br/>
        <w:t xml:space="preserve"> </w:t>
        <w:br/>
        <w:t xml:space="preserve">Se legalizó el aumento de capital por $1.700.000, utilidad del año 2021, que, por </w:t>
        <w:br/>
        <w:t xml:space="preserve">decisión de Junta de Accionistas, se decidió reinvertirla.  </w:t>
        <w:br/>
        <w:t xml:space="preserve"> </w:t>
        <w:br/>
        <w:t xml:space="preserve">El pasivo financiero terminó apenas con aproximadamente $2.000.000, más que al final </w:t>
        <w:br/>
        <w:t xml:space="preserve">del año 2021, a pesar de que fue necesario capital de trabajo por el incremento del nivel </w:t>
        <w:br/>
        <w:t xml:space="preserve">de ventas, y por la construcción de nuestros proyectos de bodegas de cielo abierto y </w:t>
        <w:br/>
        <w:t xml:space="preserve">materia prima, que puede verse reflejado en el incremento del activo corriente y no </w:t>
        <w:br/>
        <w:t>corriente. Estas negociaciones de pasivo fueron estratégicas, y aprovechadas en</w:t>
      </w:r>
    </w:p>
    <w:p>
      <w:r>
        <w:t>[Página 3]</w:t>
      </w:r>
    </w:p>
    <w:p>
      <w:r>
        <w:t xml:space="preserve">CUENCA FABRICA: Ricaurte sector El Tablón Conmutadores: 2890144 / 2890753 Fax: (07) 2890499 P.O.BOX: 252 </w:t>
        <w:br/>
        <w:t xml:space="preserve">GUAYAQUIL: F.de Orellana y Justino Cornejo Edif. Torre Atlas Piso 4 Of.  No. 4  Ciud. Kenedy Telf: 2285132 Fax: (04)288069 Bod 09-8063628 </w:t>
        <w:br/>
        <w:t xml:space="preserve">QUITO: Catalina Aldaz 34230 y Portugal  Telfs.: 2550718 / 2554713  Bodega Telefax.: 2690884 </w:t>
        <w:br/>
        <w:t xml:space="preserve">www.plasticosrival.com   email: contabilidad@plasticosrival.com </w:t>
        <w:br/>
        <w:t xml:space="preserve"> </w:t>
        <w:br/>
        <w:t xml:space="preserve">conjunto con los ingresos de efectivo por las ventas de las notas de crédito </w:t>
        <w:br/>
        <w:t xml:space="preserve">desmaterializadas y el incremento de capital.  </w:t>
        <w:br/>
        <w:t xml:space="preserve"> </w:t>
        <w:br/>
        <w:t xml:space="preserve"> </w:t>
        <w:br/>
        <w:t xml:space="preserve">En este año también se experimentó una disminución en el Valor Patrimonial </w:t>
        <w:br/>
        <w:t xml:space="preserve">Proporcional realizado a las compañías relacionadas. </w:t>
        <w:br/>
        <w:t xml:space="preserve"> </w:t>
        <w:br/>
        <w:t xml:space="preserve"> </w:t>
        <w:br/>
        <w:t xml:space="preserve">Al finalizar el año 2022 se concretaron importantes negociaciones con clientes, para la </w:t>
        <w:br/>
        <w:t xml:space="preserve">provisión de rotomoldeo y PRFV, y exportaciones con República Dominicana. </w:t>
        <w:br/>
        <w:t xml:space="preserve"> </w:t>
        <w:br/>
        <w:t xml:space="preserve">Para el año 2023, se espera mantener el nivel de ventas y que el costo de materias </w:t>
        <w:br/>
        <w:t xml:space="preserve">primas se estabilice, adicionalmente concretar nuevos tratos y convenios. </w:t>
        <w:br/>
        <w:t xml:space="preserve"> </w:t>
        <w:br/>
        <w:t xml:space="preserve">Para terminar, quiero dejar constancia de mi agradecimiento a los señores accionistas </w:t>
        <w:br/>
        <w:t xml:space="preserve">y al directorio de la empresa, por la confianza depositada en el suscrito y manifestarles </w:t>
        <w:br/>
        <w:t xml:space="preserve">mi compromiso de aunar esfuerzos para mantener la tendencia y superarla de ser </w:t>
        <w:br/>
        <w:t xml:space="preserve">posible.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Ing. José F. Román Ottati </w:t>
        <w:br/>
        <w:t>GERENTE GENERAL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