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Guayaquil, Marzo 25 del 2024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LA JUNTA GENERAL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ORDINARIA DE ACCIONISTAS DE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DOLMEN S.A.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s-ES" w:eastAsia="es-ES" w:bidi="es-ES"/>
        </w:rPr>
        <w:t>INFORME DE GERENTE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6149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Señores Accionistas:</w:t>
        <w:tab/>
        <w:t>’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- En relación con los requerimientos establecidos y considerando los requisitos mínimos que constan en la Resolución No. 92.1.4.3.0013 de la Superintendencia de Compañías en el Ecuador, cumplo con presentar a vuestra consideración el informe anual de la compañía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DOLMEN S.A.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por el año terminado al 31 de diciembre del 2023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180" w:line="34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La compañía en el presente ejercicio ha generado los siguientes resultados: Ingresos Totales $5.042.939.52; Costos y Gastos Totales $4.928.869.80 la compañía reporta utilidad por $ 114.069.72.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La sociedad cumplió con todos los requerimientos y disposiciones de la Junta.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 w:line="34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Durante el año 2023 no hubo aspectos relevantes desde el punto de vista laboral y legal que ameriten una ampliación en el presente informe ya que situaciones de esta naturaleza no han existido.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 w:after="120"/>
        <w:ind w:left="0" w:right="0" w:firstLine="0"/>
        <w:jc w:val="both"/>
      </w:pPr>
      <w:r>
        <w:drawing>
          <wp:anchor distT="567690" distB="0" distL="114300" distR="114300" simplePos="0" relativeHeight="125829378" behindDoc="0" locked="0" layoutInCell="1" allowOverlap="1">
            <wp:simplePos x="0" y="0"/>
            <wp:positionH relativeFrom="page">
              <wp:posOffset>2212340</wp:posOffset>
            </wp:positionH>
            <wp:positionV relativeFrom="paragraph">
              <wp:posOffset>1189990</wp:posOffset>
            </wp:positionV>
            <wp:extent cx="3194050" cy="323215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194050" cy="3232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3409950</wp:posOffset>
                </wp:positionH>
                <wp:positionV relativeFrom="paragraph">
                  <wp:posOffset>952500</wp:posOffset>
                </wp:positionV>
                <wp:extent cx="685800" cy="15113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5800" cy="1511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Atentamente,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68.5pt;margin-top:75.pt;width:54.pt;height:11.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Atentamente,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- En relación a lo expuesto y si no existe ningún criterio contrario, mucho agradeceré proceder a la aprobación de los Estados Financieros de la compañía al 31 de diciembre del 2023 con los respectivos resultados y el presente informe.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ING. RONALD VIZHÑAY AVILES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Gerente General</w:t>
      </w:r>
    </w:p>
    <w:sectPr>
      <w:headerReference w:type="default" r:id="rId7"/>
      <w:footnotePr>
        <w:pos w:val="pageBottom"/>
        <w:numFmt w:val="decimal"/>
        <w:numRestart w:val="continuous"/>
      </w:footnotePr>
      <w:pgSz w:w="11900" w:h="16840"/>
      <w:pgMar w:top="2732" w:left="1605" w:right="1655" w:bottom="2732" w:header="0" w:footer="230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5055870</wp:posOffset>
              </wp:positionH>
              <wp:positionV relativeFrom="page">
                <wp:posOffset>1314450</wp:posOffset>
              </wp:positionV>
              <wp:extent cx="1421765" cy="19685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1765" cy="1968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es-ES" w:eastAsia="es-ES" w:bidi="es-ES"/>
                            </w:rPr>
                            <w:t>DOLMEN S.A.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98.10000000000002pt;margin-top:103.5pt;width:111.95pt;height:15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es-ES" w:eastAsia="es-ES" w:bidi="es-ES"/>
                      </w:rPr>
                      <w:t>DOLMEN S.A.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570865</wp:posOffset>
              </wp:positionH>
              <wp:positionV relativeFrom="page">
                <wp:posOffset>1551305</wp:posOffset>
              </wp:positionV>
              <wp:extent cx="6442075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420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4.950000000000003pt;margin-top:122.15000000000001pt;width:507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Picture caption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5">
    <w:name w:val="Body text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Header or footer|2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Heading #1|1_"/>
    <w:basedOn w:val="DefaultParagraphFont"/>
    <w:link w:val="Style11"/>
    <w:rPr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Picture caption|1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FFFFFF"/>
      <w:spacing w:after="200" w:line="341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Header or footer|2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before="40" w:after="40"/>
      <w:jc w:val="center"/>
      <w:outlineLvl w:val="0"/>
    </w:pPr>
    <w:rPr>
      <w:b/>
      <w:bCs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/Relationships>
</file>