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ind-bold.ttf" ContentType="application/x-font-ttf"/>
  <Override PartName="/word/fonts/Hind-regular.ttf" ContentType="application/x-font-ttf"/>
  <Override PartName="/word/fonts/IBMPlexMono-bold.ttf" ContentType="application/x-font-ttf"/>
  <Override PartName="/word/fonts/IBMPlexMono-boldItalic.ttf" ContentType="application/x-font-ttf"/>
  <Override PartName="/word/fonts/IBMPlexMono-italic.ttf" ContentType="application/x-font-ttf"/>
  <Override PartName="/word/fonts/IBMPlexMono-regular.ttf" ContentType="application/x-font-ttf"/>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F5F2"/>
  <w:body>
    <w:p w:rsidR="00000000" w:rsidDel="00000000" w:rsidP="00000000" w:rsidRDefault="00000000" w:rsidRPr="00000000" w14:paraId="00000001">
      <w:pPr>
        <w:pStyle w:val="Heading1"/>
        <w:pageBreakBefore w:val="0"/>
        <w:rPr>
          <w:rFonts w:ascii="IBM Plex Sans" w:cs="IBM Plex Sans" w:eastAsia="IBM Plex Sans" w:hAnsi="IBM Plex Sans"/>
          <w:color w:val="999999"/>
          <w:sz w:val="14"/>
          <w:szCs w:val="14"/>
          <w:highlight w:val="white"/>
        </w:rPr>
      </w:pPr>
      <w:bookmarkStart w:colFirst="0" w:colLast="0" w:name="_w09riado97hl" w:id="0"/>
      <w:bookmarkEnd w:id="0"/>
      <w:r w:rsidDel="00000000" w:rsidR="00000000" w:rsidRPr="00000000">
        <w:rPr>
          <w:rFonts w:ascii="IBM Plex Sans" w:cs="IBM Plex Sans" w:eastAsia="IBM Plex Sans" w:hAnsi="IBM Plex Sans"/>
          <w:color w:val="000000"/>
          <w:sz w:val="30"/>
          <w:szCs w:val="30"/>
          <w:rtl w:val="0"/>
        </w:rPr>
        <w:t xml:space="preserve">MACHINE LEARNING CANVAS</w:t>
      </w:r>
      <w:r w:rsidDel="00000000" w:rsidR="00000000" w:rsidRPr="00000000">
        <w:rPr>
          <w:rFonts w:ascii="IBM Plex Sans" w:cs="IBM Plex Sans" w:eastAsia="IBM Plex Sans" w:hAnsi="IBM Plex Sans"/>
          <w:color w:val="000000"/>
          <w:rtl w:val="0"/>
        </w:rPr>
        <w:t xml:space="preserve"> </w:t>
      </w:r>
      <w:r w:rsidDel="00000000" w:rsidR="00000000" w:rsidRPr="00000000">
        <w:rPr>
          <w:rFonts w:ascii="IBM Plex Sans" w:cs="IBM Plex Sans" w:eastAsia="IBM Plex Sans" w:hAnsi="IBM Plex Sans"/>
          <w:rtl w:val="0"/>
        </w:rPr>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rtl w:val="0"/>
        </w:rPr>
        <w:t xml:space="preserve">  </w:t>
        <w:tab/>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Designed for: </w:t>
      </w:r>
      <w:r w:rsidDel="00000000" w:rsidR="00000000" w:rsidRPr="00000000">
        <w:rPr>
          <w:rFonts w:ascii="IBM Plex Sans" w:cs="IBM Plex Sans" w:eastAsia="IBM Plex Sans" w:hAnsi="IBM Plex Sans"/>
          <w:b w:val="0"/>
          <w:bCs w:val="0"/>
          <w:color w:val="999999"/>
          <w:sz w:val="14"/>
          <w:szCs w:val="14"/>
          <w:highlight w:val="white"/>
          <w:rtl w:val="0"/>
        </w:rPr>
        <w:t xml:space="preserve"> MiBici (operador, rebalanceo y planeacion urbana)</w:t>
      </w:r>
      <w:r w:rsidDel="00000000" w:rsidR="00000000" w:rsidRPr="00000000">
        <w:rPr>
          <w:rFonts w:ascii="IBM Plex Sans" w:cs="IBM Plex Sans" w:eastAsia="IBM Plex Sans" w:hAnsi="IBM Plex Sans"/>
          <w:b w:val="0"/>
          <w:bCs w:val="0"/>
          <w:color w:val="999999"/>
          <w:sz w:val="14"/>
          <w:szCs w:val="14"/>
          <w:rtl w:val="0"/>
        </w:rPr>
        <w:t xml:space="preserve">   Designed by: </w:t>
      </w:r>
      <w:r w:rsidDel="00000000" w:rsidR="00000000" w:rsidRPr="00000000">
        <w:rPr>
          <w:rFonts w:ascii="IBM Plex Sans" w:cs="IBM Plex Sans" w:eastAsia="IBM Plex Sans" w:hAnsi="IBM Plex Sans"/>
          <w:b w:val="0"/>
          <w:bCs w:val="0"/>
          <w:color w:val="999999"/>
          <w:sz w:val="14"/>
          <w:szCs w:val="14"/>
          <w:highlight w:val="white"/>
          <w:rtl w:val="0"/>
        </w:rPr>
        <w:t xml:space="preserve"> Equipo 49 (TC5061)</w:t>
      </w:r>
      <w:r w:rsidDel="00000000" w:rsidR="00000000" w:rsidRPr="00000000">
        <w:rPr>
          <w:rFonts w:ascii="IBM Plex Sans" w:cs="IBM Plex Sans" w:eastAsia="IBM Plex Sans" w:hAnsi="IBM Plex Sans"/>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Date: </w:t>
      </w:r>
      <w:r w:rsidDel="00000000" w:rsidR="00000000" w:rsidRPr="00000000">
        <w:rPr>
          <w:rFonts w:ascii="IBM Plex Sans" w:cs="IBM Plex Sans" w:eastAsia="IBM Plex Sans" w:hAnsi="IBM Plex Sans"/>
          <w:b w:val="0"/>
          <w:bCs w:val="0"/>
          <w:color w:val="999999"/>
          <w:sz w:val="14"/>
          <w:szCs w:val="14"/>
          <w:highlight w:val="white"/>
          <w:rtl w:val="0"/>
        </w:rPr>
        <w:t xml:space="preserve"> 16/10/2026</w:t>
      </w:r>
      <w:r w:rsidDel="00000000" w:rsidR="00000000" w:rsidRPr="00000000">
        <w:rPr>
          <w:rFonts w:ascii="IBM Plex Sans" w:cs="IBM Plex Sans" w:eastAsia="IBM Plex Sans" w:hAnsi="IBM Plex Sans"/>
          <w:b w:val="0"/>
          <w:bCs w:val="0"/>
          <w:color w:val="999999"/>
          <w:sz w:val="14"/>
          <w:szCs w:val="14"/>
          <w:rtl w:val="0"/>
        </w:rPr>
        <w:t xml:space="preserve">  Iteration: </w:t>
      </w:r>
      <w:r w:rsidDel="00000000" w:rsidR="00000000" w:rsidRPr="00000000">
        <w:rPr>
          <w:rFonts w:ascii="IBM Plex Sans" w:cs="IBM Plex Sans" w:eastAsia="IBM Plex Sans" w:hAnsi="IBM Plex Sans"/>
          <w:b w:val="0"/>
          <w:bCs w:val="0"/>
          <w:color w:val="999999"/>
          <w:sz w:val="14"/>
          <w:szCs w:val="14"/>
          <w:highlight w:val="white"/>
          <w:rtl w:val="0"/>
        </w:rPr>
        <w:t xml:space="preserve"> 1 (Etapa 1).</w:t>
      </w:r>
      <w:r w:rsidDel="00000000" w:rsidR="00000000" w:rsidRPr="00000000">
        <w:rPr>
          <w:rtl w:val="0"/>
        </w:rPr>
      </w:r>
    </w:p>
    <w:tbl>
      <w:tblPr>
        <w:tblStyle w:val="Table1"/>
        <w:tblW w:w="14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880"/>
        <w:gridCol w:w="2880"/>
        <w:gridCol w:w="2880"/>
        <w:gridCol w:w="2880"/>
        <w:tblGridChange w:id="0">
          <w:tblGrid>
            <w:gridCol w:w="2955"/>
            <w:gridCol w:w="2880"/>
            <w:gridCol w:w="2880"/>
            <w:gridCol w:w="2880"/>
            <w:gridCol w:w="2880"/>
          </w:tblGrid>
        </w:tblGridChange>
      </w:tblGrid>
      <w:tr>
        <w:trPr>
          <w:cantSplit w:val="0"/>
          <w:trHeight w:val="4140" w:hRule="atLeast"/>
          <w:tblHeader w:val="0"/>
        </w:trPr>
        <w:tc>
          <w:tcPr>
            <w:tcBorders>
              <w:top w:color="000000" w:space="0" w:sz="24" w:val="single"/>
              <w:lef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2">
            <w:pPr>
              <w:pStyle w:val="Heading2"/>
              <w:pageBreakBefore w:val="0"/>
              <w:rPr>
                <w:rFonts w:ascii="IBM Plex Sans" w:cs="IBM Plex Sans" w:eastAsia="IBM Plex Sans" w:hAnsi="IBM Plex Sans"/>
              </w:rPr>
            </w:pPr>
            <w:bookmarkStart w:colFirst="0" w:colLast="0" w:name="_1h1dkvi2yfu9" w:id="1"/>
            <w:bookmarkEnd w:id="1"/>
            <w:r w:rsidDel="00000000" w:rsidR="00000000" w:rsidRPr="00000000">
              <w:rPr>
                <w:rFonts w:ascii="IBM Plex Sans" w:cs="IBM Plex Sans" w:eastAsia="IBM Plex Sans" w:hAnsi="IBM Plex Sans"/>
                <w:rtl w:val="0"/>
              </w:rPr>
              <w:t xml:space="preserve">PREDICTION TASK</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3">
            <w:pPr>
              <w:pStyle w:val="Heading3"/>
              <w:pageBreakBefore w:val="0"/>
              <w:spacing w:after="200" w:lineRule="auto"/>
              <w:rPr>
                <w:rFonts w:ascii="IBM Plex Sans" w:cs="IBM Plex Sans" w:eastAsia="IBM Plex Sans" w:hAnsi="IBM Plex Sans"/>
                <w:color w:val="999999"/>
                <w:sz w:val="14"/>
                <w:szCs w:val="14"/>
              </w:rPr>
            </w:pPr>
            <w:bookmarkStart w:colFirst="0" w:colLast="0" w:name="_ey8zlrtsndyk" w:id="2"/>
            <w:bookmarkEnd w:id="2"/>
            <w:r w:rsidDel="00000000" w:rsidR="00000000" w:rsidRPr="00000000">
              <w:rPr>
                <w:rFonts w:ascii="IBM Plex Sans" w:cs="IBM Plex Sans" w:eastAsia="IBM Plex Sans" w:hAnsi="IBM Plex Sans"/>
                <w:color w:val="999999"/>
                <w:sz w:val="14"/>
                <w:szCs w:val="14"/>
                <w:rtl w:val="0"/>
              </w:rPr>
              <w:t xml:space="preserve">What is the type of task?</w:t>
              <w:br w:type="textWrapping"/>
              <w:t xml:space="preserve">Which entity are predictions made on?</w:t>
              <w:br w:type="textWrapping"/>
              <w:t xml:space="preserve">What are the possible outcomes to predict?</w:t>
              <w:br w:type="textWrapping"/>
              <w:t xml:space="preserve">When are outcomes observed?</w:t>
              <w:br w:type="textWrapping"/>
            </w:r>
          </w:p>
          <w:p w:rsidR="00000000" w:rsidDel="00000000" w:rsidP="00000000" w:rsidRDefault="00000000" w:rsidRPr="00000000" w14:paraId="00000004">
            <w:pPr>
              <w:pageBreakBefore w:val="0"/>
              <w:spacing w:after="20" w:lineRule="auto" w:before="0" w:line="240"/>
              <w:jc w:val="left"/>
              <w:rPr>
                <w:rFonts w:ascii="IBM Plex Sans" w:cs="IBM Plex Sans" w:eastAsia="IBM Plex Sans" w:hAnsi="IBM Plex Sans"/>
                <w:color w:val="020094"/>
                <w:sz w:val="26"/>
                <w:szCs w:val="26"/>
              </w:rPr>
            </w:pPr>
            <w:r w:rsidDel="00000000" w:rsidR="00000000" w:rsidRPr="00000000">
              <w:rPr>
                <w:rtl w:val="0"/>
              </w:rPr>
            </w:r>
            <w:r>
              <w:rPr>
                <w:rFonts w:ascii="IBM Plex Sans" w:hAnsi="IBM Plex Sans"/>
                <w:sz w:val="12"/>
              </w:rPr>
              <w:t>P1 Regresion: viajes que salen de cada estacion en cada hora (conteo, entero &gt;= 0).</w:t>
            </w:r>
          </w:p>
          <w:p>
            <w:pPr>
              <w:spacing w:before="0" w:after="20" w:line="240" w:lineRule="auto"/>
            </w:pPr>
            <w:r>
              <w:rPr>
                <w:rFonts w:ascii="IBM Plex Sans" w:hAnsi="IBM Plex Sans"/>
                <w:sz w:val="12"/>
              </w:rPr>
              <w:t>P2 Clasificacion: riesgo 0/1 de que la estacion quede vacia o llena en las proximas 2 h.</w:t>
            </w:r>
          </w:p>
          <w:p>
            <w:pPr>
              <w:spacing w:before="0" w:after="20" w:line="240" w:lineRule="auto"/>
            </w:pPr>
            <w:r>
              <w:rPr>
                <w:rFonts w:ascii="IBM Plex Sans" w:hAnsi="IBM Plex Sans"/>
                <w:sz w:val="12"/>
              </w:rPr>
              <w:t>P3 Clustering: grupos de estaciones por patron de uso (k entre 3 y 8).</w:t>
            </w:r>
          </w:p>
          <w:p>
            <w:pPr>
              <w:spacing w:before="0" w:after="20" w:line="240" w:lineRule="auto"/>
            </w:pPr>
            <w:r>
              <w:rPr>
                <w:rFonts w:ascii="IBM Plex Sans" w:hAnsi="IBM Plex Sans"/>
                <w:sz w:val="12"/>
              </w:rPr>
              <w:t>Entidad: estacion (484 en catalogo; 469 con salidas en 12 meses).</w:t>
            </w:r>
          </w:p>
          <w:p>
            <w:pPr>
              <w:spacing w:before="0" w:after="20" w:line="240" w:lineRule="auto"/>
            </w:pPr>
            <w:r>
              <w:rPr>
                <w:rFonts w:ascii="IBM Plex Sans" w:hAnsi="IBM Plex Sans"/>
                <w:sz w:val="12"/>
              </w:rPr>
              <w:t>Cuando se observa: P1 y P2 al cierre de cada hora; P3 con el periodo de entrenamiento.</w:t>
            </w:r>
          </w:p>
        </w:tc>
        <w:tc>
          <w:tcPr>
            <w:tcBorders>
              <w:top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pageBreakBefore w:val="0"/>
              <w:rPr>
                <w:rFonts w:ascii="IBM Plex Sans" w:cs="IBM Plex Sans" w:eastAsia="IBM Plex Sans" w:hAnsi="IBM Plex Sans"/>
              </w:rPr>
            </w:pPr>
            <w:bookmarkStart w:colFirst="0" w:colLast="0" w:name="_zi43bbo66xa8" w:id="3"/>
            <w:bookmarkEnd w:id="3"/>
            <w:r w:rsidDel="00000000" w:rsidR="00000000" w:rsidRPr="00000000">
              <w:rPr>
                <w:rFonts w:ascii="IBM Plex Sans" w:cs="IBM Plex Sans" w:eastAsia="IBM Plex Sans" w:hAnsi="IBM Plex Sans"/>
                <w:rtl w:val="0"/>
              </w:rPr>
              <w:t xml:space="preserve">DECISIONS</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6">
            <w:pPr>
              <w:pStyle w:val="Heading3"/>
              <w:pageBreakBefore w:val="0"/>
              <w:spacing w:after="200" w:lineRule="auto"/>
              <w:rPr>
                <w:rFonts w:ascii="IBM Plex Sans" w:cs="IBM Plex Sans" w:eastAsia="IBM Plex Sans" w:hAnsi="IBM Plex Sans"/>
                <w:color w:val="999999"/>
                <w:sz w:val="14"/>
                <w:szCs w:val="14"/>
              </w:rPr>
            </w:pPr>
            <w:bookmarkStart w:colFirst="0" w:colLast="0" w:name="_n3znq0gcdzbg" w:id="4"/>
            <w:bookmarkEnd w:id="4"/>
            <w:r w:rsidDel="00000000" w:rsidR="00000000" w:rsidRPr="00000000">
              <w:rPr>
                <w:rFonts w:ascii="IBM Plex Sans" w:cs="IBM Plex Sans" w:eastAsia="IBM Plex Sans" w:hAnsi="IBM Plex Sans"/>
                <w:color w:val="999999"/>
                <w:sz w:val="14"/>
                <w:szCs w:val="14"/>
                <w:rtl w:val="0"/>
              </w:rPr>
              <w:t xml:space="preserve">How are predictions turned into actionable recommendations or decisions for the end-user? (Mention parameters of the process / application for this.)</w:t>
            </w:r>
          </w:p>
          <w:p w:rsidR="00000000" w:rsidDel="00000000" w:rsidP="00000000" w:rsidRDefault="00000000" w:rsidRPr="00000000" w14:paraId="00000007">
            <w:pPr>
              <w:pageBreakBefore w:val="0"/>
              <w:spacing w:after="20" w:lineRule="auto" w:before="0" w:line="240"/>
              <w:jc w:val="left"/>
              <w:rPr>
                <w:rFonts w:ascii="IBM Plex Sans" w:cs="IBM Plex Sans" w:eastAsia="IBM Plex Sans" w:hAnsi="IBM Plex Sans"/>
              </w:rPr>
            </w:pPr>
            <w:r w:rsidDel="00000000" w:rsidR="00000000" w:rsidRPr="00000000">
              <w:rPr>
                <w:rtl w:val="0"/>
              </w:rPr>
            </w:r>
            <w:r>
              <w:rPr>
                <w:rFonts w:ascii="IBM Plex Sans" w:hAnsi="IBM Plex Sans"/>
                <w:b/>
                <w:sz w:val="12"/>
              </w:rPr>
              <w:t>P1:</w:t>
            </w:r>
            <w:r>
              <w:rPr>
                <w:rFonts w:ascii="IBM Plex Sans" w:hAnsi="IBM Plex Sans"/>
                <w:sz w:val="12"/>
              </w:rPr>
              <w:t xml:space="preserve"> pronostico diario a las 00:00 para las 24 h. Reparte bicicletas y reservas por estacion antes del pico de 08:00.</w:t>
            </w:r>
          </w:p>
          <w:p>
            <w:pPr>
              <w:spacing w:before="0" w:after="20" w:line="240" w:lineRule="auto"/>
            </w:pPr>
            <w:r>
              <w:rPr>
                <w:rFonts w:ascii="IBM Plex Sans" w:hAnsi="IBM Plex Sans"/>
                <w:b/>
                <w:sz w:val="12"/>
              </w:rPr>
              <w:t>P2:</w:t>
            </w:r>
            <w:r>
              <w:rPr>
                <w:rFonts w:ascii="IBM Plex Sans" w:hAnsi="IBM Plex Sans"/>
                <w:sz w:val="12"/>
              </w:rPr>
              <w:t xml:space="preserve"> lista de estaciones en riesgo, ordenada. El equipo visita las k mas criticas por hora (k por confirmar).</w:t>
            </w:r>
          </w:p>
          <w:p>
            <w:pPr>
              <w:spacing w:before="0" w:after="20" w:line="240" w:lineRule="auto"/>
            </w:pPr>
            <w:r>
              <w:rPr>
                <w:rFonts w:ascii="IBM Plex Sans" w:hAnsi="IBM Plex Sans"/>
                <w:b/>
                <w:sz w:val="12"/>
              </w:rPr>
              <w:t>P3:</w:t>
            </w:r>
            <w:r>
              <w:rPr>
                <w:rFonts w:ascii="IBM Plex Sans" w:hAnsi="IBM Plex Sans"/>
                <w:sz w:val="12"/>
              </w:rPr>
              <w:t xml:space="preserve"> grupos guian donde expandir y que tipo de anclajes poner.</w:t>
            </w:r>
          </w:p>
          <w:p>
            <w:pPr>
              <w:spacing w:before="0" w:after="20" w:line="240" w:lineRule="auto"/>
            </w:pPr>
            <w:r>
              <w:rPr>
                <w:rFonts w:ascii="IBM Plex Sans" w:hAnsi="IBM Plex Sans"/>
                <w:sz w:val="12"/>
              </w:rPr>
              <w:t>Umbral P2 elegido en validacion con precision minima de 0.5.</w:t>
            </w:r>
          </w:p>
        </w:tc>
        <w:tc>
          <w:tcPr>
            <w:tcBorders>
              <w:top w:color="000000" w:space="0" w:sz="24" w:val="single"/>
              <w:left w:color="000000" w:space="0" w:sz="12" w:val="single"/>
              <w:bottom w:color="000000" w:space="0" w:sz="0" w:val="nil"/>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pageBreakBefore w:val="0"/>
              <w:rPr>
                <w:rFonts w:ascii="IBM Plex Sans" w:cs="IBM Plex Sans" w:eastAsia="IBM Plex Sans" w:hAnsi="IBM Plex Sans"/>
              </w:rPr>
            </w:pPr>
            <w:bookmarkStart w:colFirst="0" w:colLast="0" w:name="_2awhjch1rrw2" w:id="5"/>
            <w:bookmarkEnd w:id="5"/>
            <w:r w:rsidDel="00000000" w:rsidR="00000000" w:rsidRPr="00000000">
              <w:rPr>
                <w:rFonts w:ascii="IBM Plex Sans" w:cs="IBM Plex Sans" w:eastAsia="IBM Plex Sans" w:hAnsi="IBM Plex Sans"/>
                <w:rtl w:val="0"/>
              </w:rPr>
              <w:t xml:space="preserve">VALUE PROPOSITION</w:t>
            </w:r>
            <w:r w:rsidDel="00000000" w:rsidR="00000000" w:rsidRPr="00000000">
              <w:drawing>
                <wp:anchor allowOverlap="1" behindDoc="0" distB="0" distT="0" distL="0" distR="0" hidden="0" layoutInCell="1" locked="0" relativeHeight="0" simplePos="0">
                  <wp:simplePos x="0" y="0"/>
                  <wp:positionH relativeFrom="column">
                    <wp:posOffset>1333500</wp:posOffset>
                  </wp:positionH>
                  <wp:positionV relativeFrom="paragraph">
                    <wp:posOffset>0</wp:posOffset>
                  </wp:positionV>
                  <wp:extent cx="360000" cy="360000"/>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0000" cy="360000"/>
                          </a:xfrm>
                          <a:prstGeom prst="rect"/>
                          <a:ln/>
                        </pic:spPr>
                      </pic:pic>
                    </a:graphicData>
                  </a:graphic>
                </wp:anchor>
              </w:drawing>
            </w:r>
          </w:p>
          <w:p w:rsidR="00000000" w:rsidDel="00000000" w:rsidP="00000000" w:rsidRDefault="00000000" w:rsidRPr="00000000" w14:paraId="00000009">
            <w:pPr>
              <w:pStyle w:val="Heading3"/>
              <w:rPr>
                <w:rFonts w:ascii="IBM Plex Sans" w:cs="IBM Plex Sans" w:eastAsia="IBM Plex Sans" w:hAnsi="IBM Plex Sans"/>
                <w:color w:val="999999"/>
                <w:sz w:val="14"/>
                <w:szCs w:val="14"/>
              </w:rPr>
            </w:pPr>
            <w:bookmarkStart w:colFirst="0" w:colLast="0" w:name="_dxjs2hhn8jih" w:id="6"/>
            <w:bookmarkEnd w:id="6"/>
            <w:r w:rsidDel="00000000" w:rsidR="00000000" w:rsidRPr="00000000">
              <w:rPr>
                <w:rFonts w:ascii="IBM Plex Sans" w:cs="IBM Plex Sans" w:eastAsia="IBM Plex Sans" w:hAnsi="IBM Plex Sans"/>
                <w:sz w:val="14"/>
                <w:szCs w:val="14"/>
                <w:rtl w:val="0"/>
              </w:rPr>
              <w:t xml:space="preserve">Who is the end beneficiary, and what specific pain points are addressed?</w:t>
              <w:br w:type="textWrapping"/>
              <w:t xml:space="preserve">How will the ML solution integrate with their workflow, and through which user interfaces?</w:t>
            </w:r>
            <w:r w:rsidDel="00000000" w:rsidR="00000000" w:rsidRPr="00000000">
              <w:rPr>
                <w:rtl w:val="0"/>
              </w:rPr>
            </w:r>
          </w:p>
          <w:p w:rsidR="00000000" w:rsidDel="00000000" w:rsidP="00000000" w:rsidRDefault="00000000" w:rsidRPr="00000000" w14:paraId="0000000A">
            <w:pPr>
              <w:pageBreakBefore w:val="0"/>
              <w:spacing w:after="20" w:lineRule="auto" w:before="0" w:line="240"/>
              <w:jc w:val="left"/>
              <w:rPr>
                <w:rFonts w:ascii="IBM Plex Sans" w:cs="IBM Plex Sans" w:eastAsia="IBM Plex Sans" w:hAnsi="IBM Plex Sans"/>
                <w:color w:val="020094"/>
                <w:sz w:val="28"/>
                <w:szCs w:val="28"/>
              </w:rPr>
            </w:pPr>
            <w:r w:rsidDel="00000000" w:rsidR="00000000" w:rsidRPr="00000000">
              <w:rPr>
                <w:rtl w:val="0"/>
              </w:rPr>
            </w:r>
            <w:r>
              <w:rPr>
                <w:rFonts w:ascii="IBM Plex Sans" w:hAnsi="IBM Plex Sans"/>
                <w:sz w:val="12"/>
              </w:rPr>
              <w:t>Beneficiarios: operador de MiBici (planeacion de flota), equipo de rebalanceo y planeacion urbana.</w:t>
            </w:r>
          </w:p>
          <w:p>
            <w:pPr>
              <w:spacing w:before="0" w:after="20" w:line="240" w:lineRule="auto"/>
            </w:pPr>
            <w:r>
              <w:rPr>
                <w:rFonts w:ascii="IBM Plex Sans" w:hAnsi="IBM Plex Sans"/>
                <w:sz w:val="12"/>
              </w:rPr>
              <w:t>Dolores: estaciones vacias o llenas en hora pico; reservas mal ubicadas; expansion sin datos de patron.</w:t>
            </w:r>
          </w:p>
          <w:p>
            <w:pPr>
              <w:spacing w:before="0" w:after="20" w:line="240" w:lineRule="auto"/>
            </w:pPr>
            <w:r>
              <w:rPr>
                <w:rFonts w:ascii="IBM Plex Sans" w:hAnsi="IBM Plex Sans"/>
                <w:sz w:val="12"/>
              </w:rPr>
              <w:t>Integracion: reporte diario en tabla y mapa (CSV o panel). Sin interfaz propia en esta etapa.</w:t>
            </w:r>
          </w:p>
        </w:tc>
        <w:tc>
          <w:tcPr>
            <w:tcBorders>
              <w:top w:color="000000" w:space="0" w:sz="24" w:val="single"/>
              <w:lef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pageBreakBefore w:val="0"/>
              <w:rPr>
                <w:rFonts w:ascii="IBM Plex Sans" w:cs="IBM Plex Sans" w:eastAsia="IBM Plex Sans" w:hAnsi="IBM Plex Sans"/>
              </w:rPr>
            </w:pPr>
            <w:bookmarkStart w:colFirst="0" w:colLast="0" w:name="_xadehxe6m08r" w:id="7"/>
            <w:bookmarkEnd w:id="7"/>
            <w:r w:rsidDel="00000000" w:rsidR="00000000" w:rsidRPr="00000000">
              <w:rPr>
                <w:rFonts w:ascii="IBM Plex Sans" w:cs="IBM Plex Sans" w:eastAsia="IBM Plex Sans" w:hAnsi="IBM Plex Sans"/>
                <w:rtl w:val="0"/>
              </w:rPr>
              <w:t xml:space="preserve">DATA COLLECTION</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C">
            <w:pPr>
              <w:pStyle w:val="Heading3"/>
              <w:rPr>
                <w:rFonts w:ascii="IBM Plex Sans" w:cs="IBM Plex Sans" w:eastAsia="IBM Plex Sans" w:hAnsi="IBM Plex Sans"/>
                <w:color w:val="999999"/>
                <w:sz w:val="14"/>
                <w:szCs w:val="14"/>
              </w:rPr>
            </w:pPr>
            <w:bookmarkStart w:colFirst="0" w:colLast="0" w:name="_bycxw25eie8y" w:id="8"/>
            <w:bookmarkEnd w:id="8"/>
            <w:r w:rsidDel="00000000" w:rsidR="00000000" w:rsidRPr="00000000">
              <w:rPr>
                <w:rFonts w:ascii="IBM Plex Sans" w:cs="IBM Plex Sans" w:eastAsia="IBM Plex Sans" w:hAnsi="IBM Plex Sans"/>
                <w:sz w:val="14"/>
                <w:szCs w:val="14"/>
                <w:rtl w:val="0"/>
              </w:rPr>
              <w:t xml:space="preserve">How is the initial set of entities and outcomes sourced (e.g., database extracts, API pulls, manual labeling)?</w:t>
              <w:br w:type="textWrapping"/>
              <w:t xml:space="preserve">What strategies are in place to update data continuously while controlling cost and maintaining freshness?</w:t>
            </w:r>
            <w:r w:rsidDel="00000000" w:rsidR="00000000" w:rsidRPr="00000000">
              <w:rPr>
                <w:rtl w:val="0"/>
              </w:rPr>
            </w:r>
          </w:p>
          <w:p w:rsidR="00000000" w:rsidDel="00000000" w:rsidP="00000000" w:rsidRDefault="00000000" w:rsidRPr="00000000" w14:paraId="0000000D">
            <w:pPr>
              <w:pageBreakBefore w:val="0"/>
              <w:spacing w:after="20" w:lineRule="auto" w:before="0" w:line="240"/>
              <w:jc w:val="left"/>
              <w:rPr>
                <w:rFonts w:ascii="IBM Plex Sans" w:cs="IBM Plex Sans" w:eastAsia="IBM Plex Sans" w:hAnsi="IBM Plex Sans"/>
                <w:sz w:val="14"/>
                <w:szCs w:val="14"/>
              </w:rPr>
            </w:pPr>
            <w:r w:rsidDel="00000000" w:rsidR="00000000" w:rsidRPr="00000000">
              <w:rPr>
                <w:rtl w:val="0"/>
              </w:rPr>
            </w:r>
            <w:r>
              <w:rPr>
                <w:rFonts w:ascii="IBM Plex Sans" w:hAnsi="IBM Plex Sans"/>
                <w:sz w:val="12"/>
              </w:rPr>
              <w:t>Carga mensual de los CSV del portal: 12 meses (oct-2025 a sep-2026), 4,497,877 viajes antes de limpieza.</w:t>
            </w:r>
          </w:p>
          <w:p>
            <w:pPr>
              <w:spacing w:before="0" w:after="20" w:line="240" w:lineRule="auto"/>
            </w:pPr>
            <w:r>
              <w:rPr>
                <w:rFonts w:ascii="IBM Plex Sans" w:hAnsi="IBM Plex Sans"/>
                <w:sz w:val="12"/>
              </w:rPr>
              <w:t>Ingesta reproducible (dataset.py) con manifiesto SHA-256 por archivo.</w:t>
            </w:r>
          </w:p>
          <w:p>
            <w:pPr>
              <w:spacing w:before="0" w:after="20" w:line="240" w:lineRule="auto"/>
            </w:pPr>
            <w:r>
              <w:rPr>
                <w:rFonts w:ascii="IBM Plex Sans" w:hAnsi="IBM Plex Sans"/>
                <w:sz w:val="12"/>
              </w:rPr>
              <w:t>Frescura: un mes nuevo al mes. Costo nulo (archivos abiertos de 27 a 42 MB).</w:t>
            </w:r>
          </w:p>
          <w:p>
            <w:pPr>
              <w:spacing w:before="0" w:after="20" w:line="240" w:lineRule="auto"/>
            </w:pPr>
            <w:r>
              <w:rPr>
                <w:rFonts w:ascii="IBM Plex Sans" w:hAnsi="IBM Plex Sans"/>
                <w:sz w:val="12"/>
              </w:rPr>
              <w:t>Etiquetas derivadas de los viajes; no hay etiquetado manual.</w:t>
            </w:r>
          </w:p>
        </w:tc>
        <w:tc>
          <w:tcPr>
            <w:tcBorders>
              <w:top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pageBreakBefore w:val="0"/>
              <w:rPr>
                <w:rFonts w:ascii="IBM Plex Sans" w:cs="IBM Plex Sans" w:eastAsia="IBM Plex Sans" w:hAnsi="IBM Plex Sans"/>
              </w:rPr>
            </w:pPr>
            <w:bookmarkStart w:colFirst="0" w:colLast="0" w:name="_akf661vjm278" w:id="9"/>
            <w:bookmarkEnd w:id="9"/>
            <w:r w:rsidDel="00000000" w:rsidR="00000000" w:rsidRPr="00000000">
              <w:rPr>
                <w:rFonts w:ascii="IBM Plex Sans" w:cs="IBM Plex Sans" w:eastAsia="IBM Plex Sans" w:hAnsi="IBM Plex Sans"/>
                <w:rtl w:val="0"/>
              </w:rPr>
              <w:t xml:space="preserve">DATA SOURCES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F">
            <w:pPr>
              <w:pStyle w:val="Heading3"/>
              <w:pageBreakBefore w:val="0"/>
              <w:spacing w:after="200" w:lineRule="auto"/>
              <w:rPr>
                <w:rFonts w:ascii="IBM Plex Sans" w:cs="IBM Plex Sans" w:eastAsia="IBM Plex Sans" w:hAnsi="IBM Plex Sans"/>
                <w:color w:val="999999"/>
                <w:sz w:val="14"/>
                <w:szCs w:val="14"/>
              </w:rPr>
            </w:pPr>
            <w:bookmarkStart w:colFirst="0" w:colLast="0" w:name="_3ktfmkup4get" w:id="10"/>
            <w:bookmarkEnd w:id="10"/>
            <w:r w:rsidDel="00000000" w:rsidR="00000000" w:rsidRPr="00000000">
              <w:rPr>
                <w:rFonts w:ascii="IBM Plex Sans" w:cs="IBM Plex Sans" w:eastAsia="IBM Plex Sans" w:hAnsi="IBM Plex Sans"/>
                <w:color w:val="999999"/>
                <w:sz w:val="14"/>
                <w:szCs w:val="14"/>
                <w:rtl w:val="0"/>
              </w:rPr>
              <w:t xml:space="preserve">Where can we get data on entities and observed outcomes? (Mention internal and external database tables or API methods.)</w:t>
            </w:r>
          </w:p>
          <w:p w:rsidR="00000000" w:rsidDel="00000000" w:rsidP="00000000" w:rsidRDefault="00000000" w:rsidRPr="00000000" w14:paraId="00000010">
            <w:pPr>
              <w:pageBreakBefore w:val="0"/>
              <w:spacing w:after="20" w:lineRule="auto" w:before="0" w:line="240"/>
              <w:jc w:val="left"/>
              <w:rPr>
                <w:rFonts w:ascii="IBM Plex Sans" w:cs="IBM Plex Sans" w:eastAsia="IBM Plex Sans" w:hAnsi="IBM Plex Sans"/>
                <w:i w:val="1"/>
                <w:iCs w:val="1"/>
                <w:color w:val="999999"/>
                <w:sz w:val="14"/>
                <w:szCs w:val="14"/>
              </w:rPr>
            </w:pPr>
            <w:r w:rsidDel="00000000" w:rsidR="00000000" w:rsidRPr="00000000">
              <w:rPr>
                <w:rtl w:val="0"/>
              </w:rPr>
            </w:r>
            <w:r>
              <w:rPr>
                <w:rFonts w:ascii="IBM Plex Sans" w:hAnsi="IBM Plex Sans"/>
                <w:sz w:val="12"/>
              </w:rPr>
              <w:t>Viajes: mibici.net/es/datos-abiertos (CSV mensual). Campos: Inicio, Fin, Origen_Id, Destino_Id, Viaje_Id, Usuario_Id, Genero, Año de nacimiento.</w:t>
            </w:r>
          </w:p>
          <w:p>
            <w:pPr>
              <w:spacing w:before="0" w:after="20" w:line="240" w:lineRule="auto"/>
            </w:pPr>
            <w:r>
              <w:rPr>
                <w:rFonts w:ascii="IBM Plex Sans" w:hAnsi="IBM Plex Sans"/>
                <w:sz w:val="12"/>
              </w:rPr>
              <w:t>Estaciones: nomenclatura_2026_09.csv (id, nombre, lat, lon, capacidad).</w:t>
            </w:r>
          </w:p>
          <w:p>
            <w:pPr>
              <w:spacing w:before="0" w:after="20" w:line="240" w:lineRule="auto"/>
            </w:pPr>
            <w:r>
              <w:rPr>
                <w:rFonts w:ascii="IBM Plex Sans" w:hAnsi="IBM Plex Sans"/>
                <w:sz w:val="12"/>
              </w:rPr>
              <w:t>Sin inventario de bicicletas por estacion ni eventos de rebalanceo: limita P2.</w:t>
            </w:r>
          </w:p>
          <w:p>
            <w:pPr>
              <w:spacing w:before="0" w:after="20" w:line="240" w:lineRule="auto"/>
            </w:pPr>
            <w:r>
              <w:rPr>
                <w:rFonts w:ascii="IBM Plex Sans" w:hAnsi="IBM Plex Sans"/>
                <w:sz w:val="12"/>
              </w:rPr>
              <w:t>Externos previstos: festivos de Mexico. Clima fuera de esta etapa.</w:t>
            </w:r>
          </w:p>
        </w:tc>
      </w:tr>
      <w:tr>
        <w:trPr>
          <w:cantSplit w:val="0"/>
          <w:trHeight w:val="4215" w:hRule="atLeast"/>
          <w:tblHeader w:val="0"/>
        </w:trPr>
        <w:tc>
          <w:tcPr>
            <w:tcBorders>
              <w:left w:color="000000" w:space="0" w:sz="24" w:val="single"/>
              <w:bottom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pStyle w:val="Heading2"/>
              <w:pageBreakBefore w:val="0"/>
              <w:rPr>
                <w:rFonts w:ascii="IBM Plex Sans" w:cs="IBM Plex Sans" w:eastAsia="IBM Plex Sans" w:hAnsi="IBM Plex Sans"/>
              </w:rPr>
            </w:pPr>
            <w:bookmarkStart w:colFirst="0" w:colLast="0" w:name="_vz9cpjafdrq5" w:id="11"/>
            <w:bookmarkEnd w:id="11"/>
            <w:r w:rsidDel="00000000" w:rsidR="00000000" w:rsidRPr="00000000">
              <w:rPr>
                <w:rFonts w:ascii="IBM Plex Sans" w:cs="IBM Plex Sans" w:eastAsia="IBM Plex Sans" w:hAnsi="IBM Plex Sans"/>
                <w:rtl w:val="0"/>
              </w:rPr>
              <w:t xml:space="preserve">IMPACT SIMULATION</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2">
            <w:pPr>
              <w:pStyle w:val="Heading3"/>
              <w:pageBreakBefore w:val="0"/>
              <w:spacing w:after="200" w:lineRule="auto"/>
              <w:rPr>
                <w:rFonts w:ascii="IBM Plex Sans" w:cs="IBM Plex Sans" w:eastAsia="IBM Plex Sans" w:hAnsi="IBM Plex Sans"/>
                <w:color w:val="999999"/>
                <w:sz w:val="14"/>
                <w:szCs w:val="14"/>
              </w:rPr>
            </w:pPr>
            <w:bookmarkStart w:colFirst="0" w:colLast="0" w:name="_q0my9hts6rr1" w:id="12"/>
            <w:bookmarkEnd w:id="12"/>
            <w:r w:rsidDel="00000000" w:rsidR="00000000" w:rsidRPr="00000000">
              <w:rPr>
                <w:rFonts w:ascii="IBM Plex Sans" w:cs="IBM Plex Sans" w:eastAsia="IBM Plex Sans" w:hAnsi="IBM Plex Sans"/>
                <w:color w:val="999999"/>
                <w:sz w:val="14"/>
                <w:szCs w:val="14"/>
                <w:rtl w:val="0"/>
              </w:rPr>
              <w:t xml:space="preserve">What are the cost/gain values for (in)correct decisions?</w:t>
              <w:br w:type="textWrapping"/>
              <w:t xml:space="preserve">Which data is used to simulate pre-deployment impact?</w:t>
              <w:br w:type="textWrapping"/>
              <w:t xml:space="preserve">What are the criteria for deployment?</w:t>
              <w:br w:type="textWrapping"/>
              <w:t xml:space="preserve">Are there fairness constraints?</w:t>
            </w:r>
          </w:p>
          <w:p w:rsidR="00000000" w:rsidDel="00000000" w:rsidP="00000000" w:rsidRDefault="00000000" w:rsidRPr="00000000" w14:paraId="00000013">
            <w:pPr>
              <w:pageBreakBefore w:val="0"/>
              <w:spacing w:after="20" w:lineRule="auto" w:before="0" w:line="240"/>
              <w:jc w:val="left"/>
              <w:rPr>
                <w:rFonts w:ascii="IBM Plex Sans" w:cs="IBM Plex Sans" w:eastAsia="IBM Plex Sans" w:hAnsi="IBM Plex Sans"/>
                <w:color w:val="020094"/>
                <w:sz w:val="28"/>
                <w:szCs w:val="28"/>
              </w:rPr>
            </w:pPr>
            <w:r w:rsidDel="00000000" w:rsidR="00000000" w:rsidRPr="00000000">
              <w:rPr>
                <w:rtl w:val="0"/>
              </w:rPr>
            </w:r>
            <w:r>
              <w:rPr>
                <w:rFonts w:ascii="IBM Plex Sans" w:hAnsi="IBM Plex Sans"/>
                <w:sz w:val="12"/>
              </w:rPr>
              <w:t>Costo y beneficio: no hay datos financieros de MiBici. Por confirmar con el operador: costo de visita vs. viaje perdido.</w:t>
            </w:r>
          </w:p>
          <w:p>
            <w:pPr>
              <w:spacing w:before="0" w:after="20" w:line="240" w:lineRule="auto"/>
            </w:pPr>
            <w:r>
              <w:rPr>
                <w:rFonts w:ascii="IBM Plex Sans" w:hAnsi="IBM Plex Sans"/>
                <w:sz w:val="12"/>
              </w:rPr>
              <w:t>Datos de simulacion: validacion (jul-ago 2026) y prueba (sep 2026, 490,056 viajes).</w:t>
            </w:r>
          </w:p>
          <w:p>
            <w:pPr>
              <w:spacing w:before="0" w:after="20" w:line="240" w:lineRule="auto"/>
            </w:pPr>
            <w:r>
              <w:rPr>
                <w:rFonts w:ascii="IBM Plex Sans" w:hAnsi="IBM Plex Sans"/>
                <w:sz w:val="12"/>
              </w:rPr>
              <w:t>Criterio: P2 supera la persistencia en PR-AUC; P1 supera el estacional-ingenuo en WAPE.</w:t>
            </w:r>
          </w:p>
          <w:p>
            <w:pPr>
              <w:spacing w:before="0" w:after="20" w:line="240" w:lineRule="auto"/>
            </w:pPr>
            <w:r>
              <w:rPr>
                <w:rFonts w:ascii="IBM Plex Sans" w:hAnsi="IBM Plex Sans"/>
                <w:sz w:val="12"/>
              </w:rPr>
              <w:t>Equidad: revisar que el error no se concentre en clusters de baja demanda.</w:t>
            </w:r>
          </w:p>
        </w:tc>
        <w:tc>
          <w:tcPr>
            <w:tcBorders>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2"/>
              <w:rPr>
                <w:rFonts w:ascii="IBM Plex Sans" w:cs="IBM Plex Sans" w:eastAsia="IBM Plex Sans" w:hAnsi="IBM Plex Sans"/>
                <w:sz w:val="20"/>
                <w:szCs w:val="20"/>
              </w:rPr>
            </w:pPr>
            <w:bookmarkStart w:colFirst="0" w:colLast="0" w:name="_5s79pjkaaapc" w:id="13"/>
            <w:bookmarkEnd w:id="13"/>
            <w:r w:rsidDel="00000000" w:rsidR="00000000" w:rsidRPr="00000000">
              <w:rPr>
                <w:rFonts w:ascii="IBM Plex Sans" w:cs="IBM Plex Sans" w:eastAsia="IBM Plex Sans" w:hAnsi="IBM Plex Sans"/>
                <w:rtl w:val="0"/>
              </w:rPr>
              <w:t xml:space="preserve">MAKING PREDICTIONS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5">
            <w:pPr>
              <w:pStyle w:val="Heading3"/>
              <w:pageBreakBefore w:val="0"/>
              <w:spacing w:after="200" w:lineRule="auto"/>
              <w:rPr>
                <w:rFonts w:ascii="IBM Plex Sans" w:cs="IBM Plex Sans" w:eastAsia="IBM Plex Sans" w:hAnsi="IBM Plex Sans"/>
                <w:color w:val="999999"/>
                <w:sz w:val="14"/>
                <w:szCs w:val="14"/>
              </w:rPr>
            </w:pPr>
            <w:bookmarkStart w:colFirst="0" w:colLast="0" w:name="_crxt7dvm8btd" w:id="14"/>
            <w:bookmarkEnd w:id="14"/>
            <w:r w:rsidDel="00000000" w:rsidR="00000000" w:rsidRPr="00000000">
              <w:rPr>
                <w:rFonts w:ascii="IBM Plex Sans" w:cs="IBM Plex Sans" w:eastAsia="IBM Plex Sans" w:hAnsi="IBM Plex Sans"/>
                <w:color w:val="999999"/>
                <w:sz w:val="14"/>
                <w:szCs w:val="14"/>
                <w:rtl w:val="0"/>
              </w:rPr>
              <w:t xml:space="preserve">Are predictions made in batch or in real time?</w:t>
              <w:br w:type="textWrapping"/>
              <w:t xml:space="preserve">How frequently?</w:t>
              <w:br w:type="textWrapping"/>
              <w:t xml:space="preserve">How much time is available for this (including featurization and decisions)?</w:t>
              <w:br w:type="textWrapping"/>
              <w:t xml:space="preserve">Which computational resources are used?</w:t>
            </w:r>
          </w:p>
          <w:p w:rsidR="00000000" w:rsidDel="00000000" w:rsidP="00000000" w:rsidRDefault="00000000" w:rsidRPr="00000000" w14:paraId="00000016">
            <w:pPr>
              <w:pageBreakBefore w:val="0"/>
              <w:spacing w:after="20" w:lineRule="auto" w:before="0" w:line="240"/>
              <w:jc w:val="left"/>
              <w:rPr>
                <w:rFonts w:ascii="IBM Plex Sans" w:cs="IBM Plex Sans" w:eastAsia="IBM Plex Sans" w:hAnsi="IBM Plex Sans"/>
                <w:b w:val="1"/>
                <w:bCs w:val="1"/>
                <w:color w:val="020094"/>
                <w:sz w:val="28"/>
                <w:szCs w:val="28"/>
              </w:rPr>
            </w:pPr>
            <w:r w:rsidDel="00000000" w:rsidR="00000000" w:rsidRPr="00000000">
              <w:rPr>
                <w:rtl w:val="0"/>
              </w:rPr>
            </w:r>
            <w:r>
              <w:rPr>
                <w:rFonts w:ascii="IBM Plex Sans" w:hAnsi="IBM Plex Sans"/>
                <w:sz w:val="12"/>
              </w:rPr>
              <w:t>Por lotes. P1: una vez al dia. P2: cada hora. P3: mensual o trimestral.</w:t>
            </w:r>
          </w:p>
          <w:p>
            <w:pPr>
              <w:spacing w:before="0" w:after="20" w:line="240" w:lineRule="auto"/>
            </w:pPr>
            <w:r>
              <w:rPr>
                <w:rFonts w:ascii="IBM Plex Sans" w:hAnsi="IBM Plex Sans"/>
                <w:sz w:val="12"/>
              </w:rPr>
              <w:t>Tiempo: menos de 10 min por corrida (unas 470 estaciones).</w:t>
            </w:r>
          </w:p>
          <w:p>
            <w:pPr>
              <w:spacing w:before="0" w:after="20" w:line="240" w:lineRule="auto"/>
            </w:pPr>
            <w:r>
              <w:rPr>
                <w:rFonts w:ascii="IBM Plex Sans" w:hAnsi="IBM Plex Sans"/>
                <w:sz w:val="12"/>
              </w:rPr>
              <w:t>Recursos: CPU de equipo personal o servidor pequeño. Sin GPU.</w:t>
            </w:r>
          </w:p>
        </w:tc>
        <w:tc>
          <w:tcPr>
            <w:tcBorders>
              <w:top w:color="000000" w:space="0" w:sz="0" w:val="nil"/>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200" w:lineRule="auto"/>
              <w:jc w:val="left"/>
              <w:rPr>
                <w:rFonts w:ascii="IBM Plex Sans" w:cs="IBM Plex Sans" w:eastAsia="IBM Plex Sans" w:hAnsi="IBM Plex Sans"/>
                <w:b w:val="1"/>
                <w:bCs w:val="1"/>
                <w:color w:val="020094"/>
                <w:sz w:val="26"/>
                <w:szCs w:val="26"/>
              </w:rPr>
            </w:pPr>
            <w:r w:rsidDel="00000000" w:rsidR="00000000" w:rsidRPr="00000000">
              <w:rPr>
                <w:rtl w:val="0"/>
              </w:rPr>
            </w:r>
          </w:p>
        </w:tc>
        <w:tc>
          <w:tcPr>
            <w:tcBorders>
              <w:left w:color="000000" w:space="0" w:sz="12" w:val="single"/>
              <w:bottom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Style w:val="Heading2"/>
              <w:pageBreakBefore w:val="0"/>
              <w:rPr>
                <w:rFonts w:ascii="IBM Plex Sans" w:cs="IBM Plex Sans" w:eastAsia="IBM Plex Sans" w:hAnsi="IBM Plex Sans"/>
              </w:rPr>
            </w:pPr>
            <w:bookmarkStart w:colFirst="0" w:colLast="0" w:name="_81vf84j4p1ue" w:id="15"/>
            <w:bookmarkEnd w:id="15"/>
            <w:r w:rsidDel="00000000" w:rsidR="00000000" w:rsidRPr="00000000">
              <w:rPr>
                <w:rFonts w:ascii="IBM Plex Sans" w:cs="IBM Plex Sans" w:eastAsia="IBM Plex Sans" w:hAnsi="IBM Plex Sans"/>
                <w:rtl w:val="0"/>
              </w:rPr>
              <w:t xml:space="preserve">BUILDING MODELS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9">
            <w:pPr>
              <w:pStyle w:val="Heading3"/>
              <w:pageBreakBefore w:val="0"/>
              <w:spacing w:after="200" w:lineRule="auto"/>
              <w:rPr>
                <w:rFonts w:ascii="IBM Plex Sans" w:cs="IBM Plex Sans" w:eastAsia="IBM Plex Sans" w:hAnsi="IBM Plex Sans"/>
                <w:color w:val="999999"/>
                <w:sz w:val="14"/>
                <w:szCs w:val="14"/>
              </w:rPr>
            </w:pPr>
            <w:bookmarkStart w:colFirst="0" w:colLast="0" w:name="_uqcgz6o8ws7h" w:id="16"/>
            <w:bookmarkEnd w:id="16"/>
            <w:r w:rsidDel="00000000" w:rsidR="00000000" w:rsidRPr="00000000">
              <w:rPr>
                <w:rFonts w:ascii="IBM Plex Sans" w:cs="IBM Plex Sans" w:eastAsia="IBM Plex Sans" w:hAnsi="IBM Plex Sans"/>
                <w:color w:val="999999"/>
                <w:sz w:val="14"/>
                <w:szCs w:val="14"/>
                <w:rtl w:val="0"/>
              </w:rPr>
              <w:t xml:space="preserve">How many models are needed in production?</w:t>
              <w:br w:type="textWrapping"/>
              <w:t xml:space="preserve">When should they be updated?</w:t>
              <w:br w:type="textWrapping"/>
              <w:t xml:space="preserve">How much time is available for this (including featurization and analysis)?</w:t>
              <w:br w:type="textWrapping"/>
              <w:t xml:space="preserve">Which computation resources are used?</w:t>
            </w:r>
          </w:p>
          <w:p w:rsidR="00000000" w:rsidDel="00000000" w:rsidP="00000000" w:rsidRDefault="00000000" w:rsidRPr="00000000" w14:paraId="0000001A">
            <w:pPr>
              <w:pageBreakBefore w:val="0"/>
              <w:spacing w:after="20" w:lineRule="auto" w:before="0" w:line="240"/>
              <w:jc w:val="left"/>
              <w:rPr>
                <w:rFonts w:ascii="IBM Plex Sans" w:cs="IBM Plex Sans" w:eastAsia="IBM Plex Sans" w:hAnsi="IBM Plex Sans"/>
                <w:color w:val="020094"/>
                <w:sz w:val="28"/>
                <w:szCs w:val="28"/>
              </w:rPr>
            </w:pPr>
            <w:r w:rsidDel="00000000" w:rsidR="00000000" w:rsidRPr="00000000">
              <w:rPr>
                <w:rtl w:val="0"/>
              </w:rPr>
            </w:r>
            <w:r>
              <w:rPr>
                <w:rFonts w:ascii="IBM Plex Sans" w:hAnsi="IBM Plex Sans"/>
                <w:sz w:val="12"/>
              </w:rPr>
              <w:t>Tres modelos en produccion, uno por pregunta.</w:t>
            </w:r>
          </w:p>
          <w:p>
            <w:pPr>
              <w:spacing w:before="0" w:after="20" w:line="240" w:lineRule="auto"/>
            </w:pPr>
            <w:r>
              <w:rPr>
                <w:rFonts w:ascii="IBM Plex Sans" w:hAnsi="IBM Plex Sans"/>
                <w:sz w:val="12"/>
              </w:rPr>
              <w:t>Reentrenar cada mes con ventana movil de 12 meses; P3 cada trimestre o al cambiar la red.</w:t>
            </w:r>
          </w:p>
          <w:p>
            <w:pPr>
              <w:spacing w:before="0" w:after="20" w:line="240" w:lineRule="auto"/>
            </w:pPr>
            <w:r>
              <w:rPr>
                <w:rFonts w:ascii="IBM Plex Sans" w:hAnsi="IBM Plex Sans"/>
                <w:sz w:val="12"/>
              </w:rPr>
              <w:t>Tiempo: pocos minutos por corrida con scikit-learn (CPU).</w:t>
            </w:r>
          </w:p>
          <w:p>
            <w:pPr>
              <w:spacing w:before="0" w:after="20" w:line="240" w:lineRule="auto"/>
            </w:pPr>
            <w:r>
              <w:rPr>
                <w:rFonts w:ascii="IBM Plex Sans" w:hAnsi="IBM Plex Sans"/>
                <w:sz w:val="12"/>
              </w:rPr>
              <w:t>Registro y comparacion con MLflow Tracking.</w:t>
            </w:r>
          </w:p>
        </w:tc>
        <w:tc>
          <w:tcPr>
            <w:tcBorders>
              <w:bottom w:color="000000" w:space="0" w:sz="0" w:val="nil"/>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pageBreakBefore w:val="0"/>
              <w:rPr>
                <w:rFonts w:ascii="IBM Plex Sans" w:cs="IBM Plex Sans" w:eastAsia="IBM Plex Sans" w:hAnsi="IBM Plex Sans"/>
              </w:rPr>
            </w:pPr>
            <w:bookmarkStart w:colFirst="0" w:colLast="0" w:name="_4e49g6s44q5h" w:id="17"/>
            <w:bookmarkEnd w:id="17"/>
            <w:r w:rsidDel="00000000" w:rsidR="00000000" w:rsidRPr="00000000">
              <w:rPr>
                <w:rFonts w:ascii="IBM Plex Sans" w:cs="IBM Plex Sans" w:eastAsia="IBM Plex Sans" w:hAnsi="IBM Plex Sans"/>
                <w:rtl w:val="0"/>
              </w:rPr>
              <w:t xml:space="preserve">FEATURES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C">
            <w:pPr>
              <w:pStyle w:val="Heading3"/>
              <w:spacing w:after="200" w:lineRule="auto"/>
              <w:rPr>
                <w:rFonts w:ascii="IBM Plex Sans" w:cs="IBM Plex Sans" w:eastAsia="IBM Plex Sans" w:hAnsi="IBM Plex Sans"/>
                <w:b w:val="1"/>
                <w:bCs w:val="1"/>
                <w:color w:val="020094"/>
                <w:sz w:val="26"/>
                <w:szCs w:val="26"/>
              </w:rPr>
            </w:pPr>
            <w:bookmarkStart w:colFirst="0" w:colLast="0" w:name="_7efx3yacbscb" w:id="18"/>
            <w:bookmarkEnd w:id="18"/>
            <w:r w:rsidDel="00000000" w:rsidR="00000000" w:rsidRPr="00000000">
              <w:rPr>
                <w:rFonts w:ascii="IBM Plex Sans" w:cs="IBM Plex Sans" w:eastAsia="IBM Plex Sans" w:hAnsi="IBM Plex Sans"/>
                <w:color w:val="999999"/>
                <w:sz w:val="14"/>
                <w:szCs w:val="14"/>
                <w:rtl w:val="0"/>
              </w:rPr>
              <w:t xml:space="preserve">What representations are used for entities at prediction time?</w:t>
              <w:br w:type="textWrapping"/>
              <w:t xml:space="preserve">What aggregations or transformations are applied to raw data sources?</w:t>
            </w:r>
            <w:r w:rsidDel="00000000" w:rsidR="00000000" w:rsidRPr="00000000">
              <w:rPr>
                <w:rtl w:val="0"/>
              </w:rPr>
            </w:r>
          </w:p>
          <w:p w:rsidR="00000000" w:rsidDel="00000000" w:rsidP="00000000" w:rsidRDefault="00000000" w:rsidRPr="00000000" w14:paraId="0000001D">
            <w:pPr>
              <w:pageBreakBefore w:val="0"/>
              <w:spacing w:after="20" w:lineRule="auto" w:before="0" w:line="240"/>
              <w:jc w:val="left"/>
              <w:rPr>
                <w:rFonts w:ascii="IBM Plex Sans" w:cs="IBM Plex Sans" w:eastAsia="IBM Plex Sans" w:hAnsi="IBM Plex Sans"/>
                <w:color w:val="020094"/>
                <w:sz w:val="26"/>
                <w:szCs w:val="26"/>
              </w:rPr>
            </w:pPr>
            <w:r w:rsidDel="00000000" w:rsidR="00000000" w:rsidRPr="00000000">
              <w:rPr>
                <w:rtl w:val="0"/>
              </w:rPr>
            </w:r>
            <w:r>
              <w:rPr>
                <w:rFonts w:ascii="IBM Plex Sans" w:hAnsi="IBM Plex Sans"/>
                <w:sz w:val="12"/>
              </w:rPr>
              <w:t>Calendario: hora, dia de la semana, mes, festivo y fin de semana.</w:t>
            </w:r>
          </w:p>
          <w:p>
            <w:pPr>
              <w:spacing w:before="0" w:after="20" w:line="240" w:lineRule="auto"/>
            </w:pPr>
            <w:r>
              <w:rPr>
                <w:rFonts w:ascii="IBM Plex Sans" w:hAnsi="IBM Plex Sans"/>
                <w:sz w:val="12"/>
              </w:rPr>
              <w:t>Rezagos de 24, 48 y 168 h; media de 4 semanas para el mismo dia y hora.</w:t>
            </w:r>
          </w:p>
          <w:p>
            <w:pPr>
              <w:spacing w:before="0" w:after="20" w:line="240" w:lineRule="auto"/>
            </w:pPr>
            <w:r>
              <w:rPr>
                <w:rFonts w:ascii="IBM Plex Sans" w:hAnsi="IBM Plex Sans"/>
                <w:sz w:val="12"/>
              </w:rPr>
              <w:t>Capacidad y cluster de P3 (ajustado solo con entrenamiento).</w:t>
            </w:r>
          </w:p>
          <w:p>
            <w:pPr>
              <w:spacing w:before="0" w:after="20" w:line="240" w:lineRule="auto"/>
            </w:pPr>
            <w:r>
              <w:rPr>
                <w:rFonts w:ascii="IBM Plex Sans" w:hAnsi="IBM Plex Sans"/>
                <w:b/>
                <w:sz w:val="12"/>
              </w:rPr>
              <w:t>P2:</w:t>
            </w:r>
            <w:r>
              <w:rPr>
                <w:rFonts w:ascii="IBM Plex Sans" w:hAnsi="IBM Plex Sans"/>
                <w:sz w:val="12"/>
              </w:rPr>
              <w:t xml:space="preserve"> flujo neto acumulado hasta t; llegadas y salidas de la ultima hora y de las ultimas dos.</w:t>
            </w:r>
          </w:p>
          <w:p>
            <w:pPr>
              <w:spacing w:before="0" w:after="20" w:line="240" w:lineRule="auto"/>
            </w:pPr>
            <w:r>
              <w:rPr>
                <w:rFonts w:ascii="IBM Plex Sans" w:hAnsi="IBM Plex Sans"/>
                <w:sz w:val="12"/>
              </w:rPr>
              <w:t>Sin fuga: solo informacion anterior al momento de prediccion. No se usan Usuario_Id, genero ni edad.</w:t>
            </w:r>
          </w:p>
        </w:tc>
      </w:tr>
      <w:tr>
        <w:trPr>
          <w:cantSplit w:val="0"/>
          <w:trHeight w:val="1740" w:hRule="atLeast"/>
          <w:tblHeader w:val="0"/>
        </w:trPr>
        <w:tc>
          <w:tcPr>
            <w:tcBorders>
              <w:top w:color="000000" w:space="0" w:sz="0" w:val="nil"/>
              <w:left w:color="000000" w:space="0" w:sz="24" w:val="single"/>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pageBreakBefore w:val="0"/>
              <w:jc w:val="left"/>
              <w:rPr>
                <w:rFonts w:ascii="IBM Plex Sans" w:cs="IBM Plex Sans" w:eastAsia="IBM Plex Sans" w:hAnsi="IBM Plex Sans"/>
              </w:rPr>
            </w:pPr>
            <w:r w:rsidDel="00000000" w:rsidR="00000000" w:rsidRPr="00000000">
              <w:rPr>
                <w:rtl w:val="0"/>
              </w:rPr>
            </w:r>
          </w:p>
        </w:tc>
        <w:tc>
          <w:tcPr>
            <w:tcBorders>
              <w:top w:color="000000" w:space="0" w:sz="12" w:val="single"/>
              <w:left w:color="000000" w:space="0" w:sz="12" w:val="single"/>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pStyle w:val="Heading2"/>
              <w:pageBreakBefore w:val="0"/>
              <w:rPr>
                <w:rFonts w:ascii="IBM Plex Sans" w:cs="IBM Plex Sans" w:eastAsia="IBM Plex Sans" w:hAnsi="IBM Plex Sans"/>
              </w:rPr>
            </w:pPr>
            <w:bookmarkStart w:colFirst="0" w:colLast="0" w:name="_99rbzexhxp86" w:id="19"/>
            <w:bookmarkEnd w:id="19"/>
            <w:r w:rsidDel="00000000" w:rsidR="00000000" w:rsidRPr="00000000">
              <w:rPr>
                <w:rFonts w:ascii="IBM Plex Sans" w:cs="IBM Plex Sans" w:eastAsia="IBM Plex Sans" w:hAnsi="IBM Plex Sans"/>
                <w:rtl w:val="0"/>
              </w:rPr>
              <w:t xml:space="preserve">MONITORING</w:t>
            </w:r>
          </w:p>
          <w:p w:rsidR="00000000" w:rsidDel="00000000" w:rsidP="00000000" w:rsidRDefault="00000000" w:rsidRPr="00000000" w14:paraId="00000020">
            <w:pPr>
              <w:pStyle w:val="Heading3"/>
              <w:pageBreakBefore w:val="0"/>
              <w:spacing w:after="200" w:lineRule="auto"/>
              <w:rPr>
                <w:rFonts w:ascii="IBM Plex Sans" w:cs="IBM Plex Sans" w:eastAsia="IBM Plex Sans" w:hAnsi="IBM Plex Sans"/>
                <w:color w:val="999999"/>
                <w:sz w:val="14"/>
                <w:szCs w:val="14"/>
              </w:rPr>
            </w:pPr>
            <w:bookmarkStart w:colFirst="0" w:colLast="0" w:name="_yrsc8mhn4oky" w:id="20"/>
            <w:bookmarkEnd w:id="20"/>
            <w:r w:rsidDel="00000000" w:rsidR="00000000" w:rsidRPr="00000000">
              <w:rPr>
                <w:rFonts w:ascii="IBM Plex Sans" w:cs="IBM Plex Sans" w:eastAsia="IBM Plex Sans" w:hAnsi="IBM Plex Sans"/>
                <w:color w:val="999999"/>
                <w:sz w:val="14"/>
                <w:szCs w:val="14"/>
                <w:rtl w:val="0"/>
              </w:rPr>
              <w:t xml:space="preserve">Which metrics and KPIs are used to track the ML solution’s impact once deployed, both for end-users and for the business?</w:t>
              <w:br w:type="textWrapping"/>
              <w:t xml:space="preserve">How often should they be reviewed?</w:t>
            </w:r>
          </w:p>
          <w:p>
            <w:pPr>
              <w:spacing w:before="0" w:after="20" w:line="240" w:lineRule="auto"/>
            </w:pPr>
            <w:r>
              <w:rPr>
                <w:rFonts w:ascii="IBM Plex Sans" w:hAnsi="IBM Plex Sans"/>
                <w:sz w:val="12"/>
              </w:rPr>
              <w:t>Negocio: viajes perdidos por estacion vacia o llena; visitas en riesgo.</w:t>
            </w:r>
          </w:p>
          <w:p>
            <w:pPr>
              <w:spacing w:before="0" w:after="20" w:line="240" w:lineRule="auto"/>
            </w:pPr>
            <w:r>
              <w:rPr>
                <w:rFonts w:ascii="IBM Plex Sans" w:hAnsi="IBM Plex Sans"/>
                <w:sz w:val="12"/>
              </w:rPr>
              <w:t>Modelo: WAPE, MAE (P1); PR-AUC (P2); silueta (P3). Alerta si empeora 10%.</w:t>
            </w:r>
          </w:p>
        </w:tc>
        <w:tc>
          <w:tcPr>
            <w:tcBorders>
              <w:top w:color="000000" w:space="0" w:sz="12" w:val="single"/>
              <w:left w:color="000000" w:space="0" w:sz="0" w:val="nil"/>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c>
          <w:tcPr>
            <w:tcBorders>
              <w:top w:color="000000" w:space="0" w:sz="12" w:val="single"/>
              <w:left w:color="000000" w:space="0" w:sz="0" w:val="nil"/>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1314450</wp:posOffset>
                  </wp:positionH>
                  <wp:positionV relativeFrom="paragraph">
                    <wp:posOffset>0</wp:posOffset>
                  </wp:positionV>
                  <wp:extent cx="324000" cy="324000"/>
                  <wp:effectExtent b="0" l="0" r="0" t="0"/>
                  <wp:wrapSquare wrapText="bothSides" distB="0" distT="0" distL="0" distR="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24000" cy="324000"/>
                          </a:xfrm>
                          <a:prstGeom prst="rect"/>
                          <a:ln/>
                        </pic:spPr>
                      </pic:pic>
                    </a:graphicData>
                  </a:graphic>
                </wp:anchor>
              </w:drawing>
            </w:r>
          </w:p>
        </w:tc>
        <w:tc>
          <w:tcPr>
            <w:tcBorders>
              <w:top w:color="000000" w:space="0" w:sz="0" w:val="nil"/>
              <w:left w:color="000000" w:space="0" w:sz="12" w:val="single"/>
              <w:bottom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200" w:lineRule="auto"/>
              <w:jc w:val="left"/>
              <w:rPr>
                <w:rFonts w:ascii="IBM Plex Sans" w:cs="IBM Plex Sans" w:eastAsia="IBM Plex Sans" w:hAnsi="IBM Plex Sans"/>
                <w:sz w:val="14"/>
                <w:szCs w:val="14"/>
              </w:rPr>
            </w:pPr>
            <w:r w:rsidDel="00000000" w:rsidR="00000000" w:rsidRPr="00000000">
              <w:rPr>
                <w:rtl w:val="0"/>
              </w:rPr>
            </w:r>
          </w:p>
        </w:tc>
      </w:tr>
    </w:tbl>
    <w:p w:rsidR="00000000" w:rsidDel="00000000" w:rsidP="00000000" w:rsidRDefault="00000000" w:rsidRPr="00000000" w14:paraId="00000024">
      <w:pPr>
        <w:pageBreakBefore w:val="0"/>
        <w:jc w:val="left"/>
        <w:rPr>
          <w:rFonts w:ascii="IBM Plex Sans" w:cs="IBM Plex Sans" w:eastAsia="IBM Plex Sans" w:hAnsi="IBM Plex Sans"/>
          <w:sz w:val="2"/>
          <w:szCs w:val="2"/>
        </w:rPr>
      </w:pPr>
      <w:r w:rsidDel="00000000" w:rsidR="00000000" w:rsidRPr="00000000">
        <w:rPr>
          <w:rtl w:val="0"/>
        </w:rPr>
      </w:r>
    </w:p>
    <w:tbl>
      <w:tblPr>
        <w:tblStyle w:val="Table2"/>
        <w:tblW w:w="14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9720"/>
        <w:gridCol w:w="2685"/>
        <w:tblGridChange w:id="0">
          <w:tblGrid>
            <w:gridCol w:w="2010"/>
            <w:gridCol w:w="9720"/>
            <w:gridCol w:w="2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spacing w:before="60" w:line="300" w:lineRule="auto"/>
              <w:jc w:val="left"/>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300" w:lineRule="auto"/>
              <w:jc w:val="left"/>
              <w:rPr>
                <w:rFonts w:ascii="IBM Plex Sans" w:cs="IBM Plex Sans" w:eastAsia="IBM Plex Sans" w:hAnsi="IBM Plex Sans"/>
                <w:sz w:val="14"/>
                <w:szCs w:val="14"/>
              </w:rPr>
            </w:pPr>
            <w:r w:rsidDel="00000000" w:rsidR="00000000" w:rsidRPr="00000000">
              <w:rPr>
                <w:rFonts w:ascii="IBM Plex Sans" w:cs="IBM Plex Sans" w:eastAsia="IBM Plex Sans" w:hAnsi="IBM Plex Sans"/>
                <w:sz w:val="14"/>
                <w:szCs w:val="14"/>
                <w:rtl w:val="0"/>
              </w:rPr>
              <w:t xml:space="preserve">Version 1.2. Created by Louis Dorard, Ph.D. Licensed under a </w:t>
            </w:r>
            <w:hyperlink r:id="rId21">
              <w:r w:rsidDel="00000000" w:rsidR="00000000" w:rsidRPr="00000000">
                <w:rPr>
                  <w:rFonts w:ascii="IBM Plex Sans" w:cs="IBM Plex Sans" w:eastAsia="IBM Plex Sans" w:hAnsi="IBM Plex Sans"/>
                  <w:sz w:val="14"/>
                  <w:szCs w:val="14"/>
                  <w:u w:val="single"/>
                  <w:rtl w:val="0"/>
                </w:rPr>
                <w:t xml:space="preserve">Creative Commons Attribution-ShareAlike 4.0 International License</w:t>
              </w:r>
            </w:hyperlink>
            <w:r w:rsidDel="00000000" w:rsidR="00000000" w:rsidRPr="00000000">
              <w:rPr>
                <w:rFonts w:ascii="IBM Plex Sans" w:cs="IBM Plex Sans" w:eastAsia="IBM Plex Sans" w:hAnsi="IBM Plex Sans"/>
                <w:sz w:val="14"/>
                <w:szCs w:val="14"/>
                <w:rtl w:val="0"/>
              </w:rPr>
              <w:t xml:space="preserve">.</w:t>
              <w:br w:type="textWrapping"/>
              <w:t xml:space="preserve">Please keep this mention and the link to </w:t>
            </w:r>
            <w:hyperlink r:id="rId22">
              <w:r w:rsidDel="00000000" w:rsidR="00000000" w:rsidRPr="00000000">
                <w:rPr>
                  <w:rFonts w:ascii="IBM Plex Sans" w:cs="IBM Plex Sans" w:eastAsia="IBM Plex Sans" w:hAnsi="IBM Plex Sans"/>
                  <w:sz w:val="14"/>
                  <w:szCs w:val="14"/>
                  <w:u w:val="single"/>
                  <w:rtl w:val="0"/>
                </w:rPr>
                <w:t xml:space="preserve">ownml.co</w:t>
              </w:r>
            </w:hyperlink>
            <w:r w:rsidDel="00000000" w:rsidR="00000000" w:rsidRPr="00000000">
              <w:rPr>
                <w:rFonts w:ascii="IBM Plex Sans" w:cs="IBM Plex Sans" w:eastAsia="IBM Plex Sans" w:hAnsi="IBM Plex Sans"/>
                <w:sz w:val="14"/>
                <w:szCs w:val="14"/>
                <w:rtl w:val="0"/>
              </w:rPr>
              <w:t xml:space="preserve"> when sharing.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before="60" w:line="300" w:lineRule="auto"/>
              <w:jc w:val="right"/>
              <w:rPr>
                <w:rFonts w:ascii="IBM Plex Sans" w:cs="IBM Plex Sans" w:eastAsia="IBM Plex Sans" w:hAnsi="IBM Plex Sans"/>
                <w:color w:val="a35a00"/>
                <w:sz w:val="22"/>
                <w:szCs w:val="22"/>
              </w:rPr>
            </w:pPr>
            <w:r w:rsidDel="00000000" w:rsidR="00000000" w:rsidRPr="00000000">
              <w:rPr>
                <w:rFonts w:ascii="IBM Plex Sans" w:cs="IBM Plex Sans" w:eastAsia="IBM Plex Sans" w:hAnsi="IBM Plex Sans"/>
                <w:rtl w:val="0"/>
              </w:rPr>
              <w:t xml:space="preserve"> </w:t>
            </w:r>
            <w:hyperlink r:id="rId23">
              <w:r w:rsidDel="00000000" w:rsidR="00000000" w:rsidRPr="00000000">
                <w:rPr>
                  <w:rFonts w:ascii="IBM Plex Sans" w:cs="IBM Plex Sans" w:eastAsia="IBM Plex Sans" w:hAnsi="IBM Plex Sans"/>
                  <w:b w:val="1"/>
                  <w:bCs w:val="1"/>
                  <w:color w:val="a35a00"/>
                  <w:sz w:val="30"/>
                  <w:szCs w:val="30"/>
                  <w:u w:val="single"/>
                  <w:rtl w:val="0"/>
                </w:rPr>
                <w:t xml:space="preserve">OWNML.CO</w:t>
              </w:r>
            </w:hyperlink>
            <w:r w:rsidDel="00000000" w:rsidR="00000000" w:rsidRPr="00000000">
              <w:rPr>
                <w:rtl w:val="0"/>
              </w:rPr>
            </w:r>
          </w:p>
        </w:tc>
      </w:tr>
    </w:tbl>
    <w:p w:rsidR="00000000" w:rsidDel="00000000" w:rsidP="00000000" w:rsidRDefault="00000000" w:rsidRPr="00000000" w14:paraId="00000028">
      <w:pPr>
        <w:pStyle w:val="Heading1"/>
        <w:pageBreakBefore w:val="0"/>
        <w:rPr>
          <w:rFonts w:ascii="IBM Plex Sans" w:cs="IBM Plex Sans" w:eastAsia="IBM Plex Sans" w:hAnsi="IBM Plex Sans"/>
        </w:rPr>
      </w:pPr>
      <w:bookmarkStart w:colFirst="0" w:colLast="0" w:name="_c5vfevmt07y6" w:id="21"/>
      <w:bookmarkEnd w:id="21"/>
      <w:r w:rsidDel="00000000" w:rsidR="00000000" w:rsidRPr="00000000">
        <w:rPr>
          <w:rtl w:val="0"/>
        </w:rPr>
      </w:r>
    </w:p>
    <w:p w:rsidR="00000000" w:rsidDel="00000000" w:rsidP="00000000" w:rsidRDefault="00000000" w:rsidRPr="00000000" w14:paraId="00000029">
      <w:pPr>
        <w:rPr>
          <w:rFonts w:ascii="IBM Plex Sans" w:cs="IBM Plex Sans" w:eastAsia="IBM Plex Sans" w:hAnsi="IBM Plex Sans"/>
          <w:b w:val="1"/>
          <w:bCs w:val="1"/>
          <w:sz w:val="30"/>
          <w:szCs w:val="30"/>
        </w:rPr>
      </w:pPr>
      <w:r w:rsidDel="00000000" w:rsidR="00000000" w:rsidRPr="00000000">
        <w:rPr>
          <w:rtl w:val="0"/>
        </w:rPr>
      </w:r>
    </w:p>
    <w:p w:rsidR="00000000" w:rsidDel="00000000" w:rsidP="00000000" w:rsidRDefault="00000000" w:rsidRPr="00000000" w14:paraId="0000002A">
      <w:pPr>
        <w:rPr>
          <w:rFonts w:ascii="IBM Plex Sans" w:cs="IBM Plex Sans" w:eastAsia="IBM Plex Sans" w:hAnsi="IBM Plex Sans"/>
          <w:sz w:val="18"/>
          <w:szCs w:val="18"/>
        </w:rPr>
      </w:pPr>
      <w:r w:rsidDel="00000000" w:rsidR="00000000" w:rsidRPr="00000000">
        <w:rPr>
          <w:rFonts w:ascii="IBM Plex Sans" w:cs="IBM Plex Sans" w:eastAsia="IBM Plex Sans" w:hAnsi="IBM Plex Sans"/>
          <w:b w:val="1"/>
          <w:bCs w:val="1"/>
          <w:sz w:val="30"/>
          <w:szCs w:val="30"/>
          <w:rtl w:val="0"/>
        </w:rPr>
        <w:t xml:space="preserve">What your canvas is for</w:t>
      </w:r>
      <w:r w:rsidDel="00000000" w:rsidR="00000000" w:rsidRPr="00000000">
        <w:rPr>
          <w:rtl w:val="0"/>
        </w:rPr>
      </w:r>
    </w:p>
    <w:p w:rsidR="00000000" w:rsidDel="00000000" w:rsidP="00000000" w:rsidRDefault="00000000" w:rsidRPr="00000000" w14:paraId="0000002B">
      <w:pPr>
        <w:rPr>
          <w:rFonts w:ascii="IBM Plex Sans" w:cs="IBM Plex Sans" w:eastAsia="IBM Plex Sans" w:hAnsi="IBM Plex Sans"/>
          <w:sz w:val="18"/>
          <w:szCs w:val="18"/>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30"/>
        <w:gridCol w:w="870"/>
        <w:gridCol w:w="6900"/>
        <w:tblGridChange w:id="0">
          <w:tblGrid>
            <w:gridCol w:w="6630"/>
            <w:gridCol w:w="87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before="20" w:lineRule="auto"/>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color w:val="202020"/>
                <w:sz w:val="18"/>
                <w:szCs w:val="18"/>
                <w:rtl w:val="0"/>
              </w:rPr>
              <w:t xml:space="preserve">A filled canvas does 4 jobs, and each one needs certain boxes filled in with care.</w:t>
            </w:r>
          </w:p>
          <w:p w:rsidR="00000000" w:rsidDel="00000000" w:rsidP="00000000" w:rsidRDefault="00000000" w:rsidRPr="00000000" w14:paraId="0000002D">
            <w:pPr>
              <w:numPr>
                <w:ilvl w:val="0"/>
                <w:numId w:val="1"/>
              </w:numPr>
              <w:spacing w:after="0" w:afterAutospacing="0" w:before="20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Deciding what's worth building.</w:t>
            </w:r>
            <w:r w:rsidDel="00000000" w:rsidR="00000000" w:rsidRPr="00000000">
              <w:rPr>
                <w:rFonts w:ascii="IBM Plex Sans" w:cs="IBM Plex Sans" w:eastAsia="IBM Plex Sans" w:hAnsi="IBM Plex Sans"/>
                <w:color w:val="202020"/>
                <w:sz w:val="18"/>
                <w:szCs w:val="18"/>
                <w:rtl w:val="0"/>
              </w:rPr>
              <w:t xml:space="preserve"> Put each idea on its own canvas and you can compare the ideas on the same terms: what each could gain in a year, and whether the outcomes a model would learn from were ever recorded. That takes dollar amounts in the Impact Simulation box, and a named person in the Value Proposition box who acts on each prediction.</w:t>
            </w:r>
          </w:p>
          <w:p w:rsidR="00000000" w:rsidDel="00000000" w:rsidP="00000000" w:rsidRDefault="00000000" w:rsidRPr="00000000" w14:paraId="0000002E">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Agreeing on what gets built.</w:t>
            </w:r>
            <w:r w:rsidDel="00000000" w:rsidR="00000000" w:rsidRPr="00000000">
              <w:rPr>
                <w:rFonts w:ascii="IBM Plex Sans" w:cs="IBM Plex Sans" w:eastAsia="IBM Plex Sans" w:hAnsi="IBM Plex Sans"/>
                <w:color w:val="202020"/>
                <w:sz w:val="18"/>
                <w:szCs w:val="18"/>
                <w:rtl w:val="0"/>
              </w:rPr>
              <w:t xml:space="preserve"> Some of the choices that set a system's value look technical, but they're business decisions. What counts as a lost customer: 60 days without buying, or 90? How far ahead do you predict? How many flagged cases can your team act on? On the canvas, business, data and engineering make these choices together, instead of leaving them to whoever writes the code.</w:t>
            </w:r>
          </w:p>
          <w:p w:rsidR="00000000" w:rsidDel="00000000" w:rsidP="00000000" w:rsidRDefault="00000000" w:rsidRPr="00000000" w14:paraId="0000002F">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Knowing when the model is good enough.</w:t>
            </w:r>
            <w:r w:rsidDel="00000000" w:rsidR="00000000" w:rsidRPr="00000000">
              <w:rPr>
                <w:rFonts w:ascii="IBM Plex Sans" w:cs="IBM Plex Sans" w:eastAsia="IBM Plex Sans" w:hAnsi="IBM Plex Sans"/>
                <w:color w:val="202020"/>
                <w:sz w:val="18"/>
                <w:szCs w:val="18"/>
                <w:rtl w:val="0"/>
              </w:rPr>
              <w:t xml:space="preserve"> The Impact Simulation box sets the performance the model has to reach to pay off. Test the model on enough of the cases you're predicting: 35,000 machine-hours of data can hold just 3 failures, too few to measure anything.</w:t>
            </w:r>
          </w:p>
          <w:p w:rsidR="00000000" w:rsidDel="00000000" w:rsidP="00000000" w:rsidRDefault="00000000" w:rsidRPr="00000000" w14:paraId="00000030">
            <w:pPr>
              <w:numPr>
                <w:ilvl w:val="0"/>
                <w:numId w:val="1"/>
              </w:numPr>
              <w:spacing w:after="20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Learning after launch.</w:t>
            </w:r>
            <w:r w:rsidDel="00000000" w:rsidR="00000000" w:rsidRPr="00000000">
              <w:rPr>
                <w:rFonts w:ascii="IBM Plex Sans" w:cs="IBM Plex Sans" w:eastAsia="IBM Plex Sans" w:hAnsi="IBM Plex Sans"/>
                <w:color w:val="202020"/>
                <w:sz w:val="18"/>
                <w:szCs w:val="18"/>
                <w:rtl w:val="0"/>
              </w:rPr>
              <w:t xml:space="preserve"> If acting on a prediction changes the outcome, keep a small share of flagged cases untouched and record that share in the Decisions box, so you can see what your action changed.</w:t>
            </w:r>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2">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Whatever you can't answer is the work left before anyone writes code.</w:t>
            </w:r>
          </w:p>
          <w:p w:rsidR="00000000" w:rsidDel="00000000" w:rsidP="00000000" w:rsidRDefault="00000000" w:rsidRPr="00000000" w14:paraId="00000033">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4">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5">
            <w:pPr>
              <w:rPr>
                <w:rFonts w:ascii="IBM Plex Sans" w:cs="IBM Plex Sans" w:eastAsia="IBM Plex Sans" w:hAnsi="IBM Plex Sans"/>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Book a project review</w:t>
            </w:r>
          </w:p>
          <w:p w:rsidR="00000000" w:rsidDel="00000000" w:rsidP="00000000" w:rsidRDefault="00000000" w:rsidRPr="00000000" w14:paraId="00000038">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Louis Dorard created the canvas in 2015. Book a free 30-minute call, then send him your canvas draft, or a few lines about the project if you haven't started one. He prepares the call from what you send, and you'll leave knowing where the project is likely to break, and what to check before anyone builds it.</w:t>
            </w:r>
          </w:p>
          <w:p w:rsidR="00000000" w:rsidDel="00000000" w:rsidP="00000000" w:rsidRDefault="00000000" w:rsidRPr="00000000" w14:paraId="0000003A">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B">
            <w:pPr>
              <w:rPr>
                <w:rFonts w:ascii="IBM Plex Sans" w:cs="IBM Plex Sans" w:eastAsia="IBM Plex Sans" w:hAnsi="IBM Plex Sans"/>
                <w:b w:val="1"/>
                <w:bCs w:val="1"/>
                <w:color w:val="a35a00"/>
                <w:sz w:val="18"/>
                <w:szCs w:val="18"/>
              </w:rPr>
            </w:pPr>
            <w:hyperlink r:id="rId24">
              <w:r w:rsidDel="00000000" w:rsidR="00000000" w:rsidRPr="00000000">
                <w:rPr>
                  <w:rFonts w:ascii="IBM Plex Sans" w:cs="IBM Plex Sans" w:eastAsia="IBM Plex Sans" w:hAnsi="IBM Plex Sans"/>
                  <w:b w:val="1"/>
                  <w:bCs w:val="1"/>
                  <w:color w:val="a35a00"/>
                  <w:sz w:val="18"/>
                  <w:szCs w:val="18"/>
                  <w:u w:val="single"/>
                  <w:rtl w:val="0"/>
                </w:rPr>
                <w:t xml:space="preserve">Book a 30-minute call →</w:t>
              </w:r>
            </w:hyperlink>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sz w:val="14"/>
                <w:szCs w:val="14"/>
              </w:rPr>
            </w:pPr>
            <w:r w:rsidDel="00000000" w:rsidR="00000000" w:rsidRPr="00000000">
              <w:rPr>
                <w:rtl w:val="0"/>
              </w:rPr>
            </w:r>
          </w:p>
          <w:p w:rsidR="00000000" w:rsidDel="00000000" w:rsidP="00000000" w:rsidRDefault="00000000" w:rsidRPr="00000000" w14:paraId="0000003D">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E">
            <w:pPr>
              <w:spacing w:line="240" w:lineRule="auto"/>
              <w:rPr>
                <w:rFonts w:ascii="IBM Plex Sans" w:cs="IBM Plex Sans" w:eastAsia="IBM Plex Sans" w:hAnsi="IBM Plex Sans"/>
                <w:b w:val="1"/>
                <w:bCs w:val="1"/>
                <w:sz w:val="22"/>
                <w:szCs w:val="22"/>
              </w:rPr>
            </w:pPr>
            <w:r w:rsidDel="00000000" w:rsidR="00000000" w:rsidRPr="00000000">
              <w:rPr>
                <w:rtl w:val="0"/>
              </w:rPr>
            </w:r>
          </w:p>
          <w:p w:rsidR="00000000" w:rsidDel="00000000" w:rsidP="00000000" w:rsidRDefault="00000000" w:rsidRPr="00000000" w14:paraId="0000003F">
            <w:pPr>
              <w:spacing w:line="240" w:lineRule="auto"/>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Reference the Machine Learning Canvas</w:t>
            </w:r>
          </w:p>
          <w:p w:rsidR="00000000" w:rsidDel="00000000" w:rsidP="00000000" w:rsidRDefault="00000000" w:rsidRPr="00000000" w14:paraId="00000040">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1">
            <w:pPr>
              <w:spacing w:line="24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If you need to reference the Canvas formally (e.g. in documentation or publications), you may use:</w:t>
            </w:r>
          </w:p>
          <w:p w:rsidR="00000000" w:rsidDel="00000000" w:rsidP="00000000" w:rsidRDefault="00000000" w:rsidRPr="00000000" w14:paraId="00000042">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3">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@misc{mlc,</w:t>
            </w:r>
          </w:p>
          <w:p w:rsidR="00000000" w:rsidDel="00000000" w:rsidP="00000000" w:rsidRDefault="00000000" w:rsidRPr="00000000" w14:paraId="00000044">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title  = "Machine Learning Canvas",</w:t>
            </w:r>
          </w:p>
          <w:p w:rsidR="00000000" w:rsidDel="00000000" w:rsidP="00000000" w:rsidRDefault="00000000" w:rsidRPr="00000000" w14:paraId="00000045">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author = "Louis Dorard (OWNML)",</w:t>
            </w:r>
          </w:p>
          <w:p w:rsidR="00000000" w:rsidDel="00000000" w:rsidP="00000000" w:rsidRDefault="00000000" w:rsidRPr="00000000" w14:paraId="00000046">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url    = "https://www.ownml.co/",</w:t>
            </w:r>
          </w:p>
          <w:p w:rsidR="00000000" w:rsidDel="00000000" w:rsidP="00000000" w:rsidRDefault="00000000" w:rsidRPr="00000000" w14:paraId="00000047">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year   = "2015"</w:t>
            </w:r>
          </w:p>
          <w:p w:rsidR="00000000" w:rsidDel="00000000" w:rsidP="00000000" w:rsidRDefault="00000000" w:rsidRPr="00000000" w14:paraId="00000048">
            <w:pPr>
              <w:spacing w:line="240" w:lineRule="auto"/>
              <w:rPr>
                <w:rFonts w:ascii="IBM Plex Sans" w:cs="IBM Plex Sans" w:eastAsia="IBM Plex Sans" w:hAnsi="IBM Plex Sans"/>
                <w:i w:val="1"/>
                <w:iCs w:val="1"/>
                <w:sz w:val="18"/>
                <w:szCs w:val="18"/>
              </w:rPr>
            </w:pPr>
            <w:r w:rsidDel="00000000" w:rsidR="00000000" w:rsidRPr="00000000">
              <w:rPr>
                <w:rFonts w:ascii="IBM Plex Mono" w:cs="IBM Plex Mono" w:eastAsia="IBM Plex Mono" w:hAnsi="IBM Plex Mono"/>
                <w:color w:val="b5a897"/>
                <w:sz w:val="18"/>
                <w:szCs w:val="18"/>
                <w:rtl w:val="0"/>
              </w:rPr>
              <w:t xml:space="preserve">}</w:t>
            </w:r>
            <w:r w:rsidDel="00000000" w:rsidR="00000000" w:rsidRPr="00000000">
              <w:rPr>
                <w:rtl w:val="0"/>
              </w:rPr>
            </w:r>
          </w:p>
          <w:p w:rsidR="00000000" w:rsidDel="00000000" w:rsidP="00000000" w:rsidRDefault="00000000" w:rsidRPr="00000000" w14:paraId="00000049">
            <w:pPr>
              <w:rPr>
                <w:rFonts w:ascii="IBM Plex Sans" w:cs="IBM Plex Sans" w:eastAsia="IBM Plex Sans" w:hAnsi="IBM Plex Sans"/>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i w:val="1"/>
                <w:iCs w:val="1"/>
                <w:sz w:val="18"/>
                <w:szCs w:val="18"/>
                <w:rtl w:val="0"/>
              </w:rPr>
              <w:t xml:space="preserve">"The Canvas allowed us to structure and focus our delivery sprints. The ML system went live in June 2020 and still is."</w:t>
            </w:r>
            <w:r w:rsidDel="00000000" w:rsidR="00000000" w:rsidRPr="00000000">
              <w:rPr>
                <w:rFonts w:ascii="IBM Plex Sans" w:cs="IBM Plex Sans" w:eastAsia="IBM Plex Sans" w:hAnsi="IBM Plex Sans"/>
                <w:sz w:val="18"/>
                <w:szCs w:val="18"/>
                <w:rtl w:val="0"/>
              </w:rPr>
              <w:br w:type="textWrapping"/>
              <w:t xml:space="preserve">— Christian Schiller, Senior IT &amp; Enterprise Architect, Deutsche Telekom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i w:val="1"/>
                <w:iCs w:val="1"/>
                <w:sz w:val="18"/>
                <w:szCs w:val="18"/>
                <w:rtl w:val="0"/>
              </w:rPr>
              <w:t xml:space="preserve">"MLC played an essential role in a positive project outcome. It is now being used throughout the organization."</w:t>
            </w:r>
            <w:r w:rsidDel="00000000" w:rsidR="00000000" w:rsidRPr="00000000">
              <w:rPr>
                <w:rFonts w:ascii="IBM Plex Sans" w:cs="IBM Plex Sans" w:eastAsia="IBM Plex Sans" w:hAnsi="IBM Plex Sans"/>
                <w:sz w:val="18"/>
                <w:szCs w:val="18"/>
                <w:rtl w:val="0"/>
              </w:rPr>
              <w:br w:type="textWrapping"/>
              <w:t xml:space="preserve">— Daitan, now part of Coforge, a global IT services firm</w:t>
            </w:r>
            <w:r w:rsidDel="00000000" w:rsidR="00000000" w:rsidRPr="00000000">
              <w:rPr>
                <w:rtl w:val="0"/>
              </w:rPr>
            </w:r>
          </w:p>
        </w:tc>
      </w:tr>
    </w:tbl>
    <w:p w:rsidR="00000000" w:rsidDel="00000000" w:rsidP="00000000" w:rsidRDefault="00000000" w:rsidRPr="00000000" w14:paraId="0000004D">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4E">
      <w:pPr>
        <w:spacing w:line="276" w:lineRule="auto"/>
        <w:jc w:val="left"/>
        <w:rPr>
          <w:rFonts w:ascii="IBM Plex Sans" w:cs="IBM Plex Sans" w:eastAsia="IBM Plex Sans" w:hAnsi="IBM Plex Sans"/>
          <w:b w:val="1"/>
          <w:bCs w:val="1"/>
          <w:sz w:val="18"/>
          <w:szCs w:val="18"/>
        </w:rPr>
      </w:pPr>
      <w:r w:rsidDel="00000000" w:rsidR="00000000" w:rsidRPr="00000000">
        <w:rPr>
          <w:rtl w:val="0"/>
        </w:rPr>
      </w:r>
    </w:p>
    <w:sectPr>
      <w:pgSz w:h="12240" w:w="15840" w:orient="landscape"/>
      <w:pgMar w:bottom="0" w:top="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ind">
    <w:embedRegular w:fontKey="{00000000-0000-0000-0000-000000000000}" r:id="rId13" w:subsetted="0"/>
    <w:embedBold w:fontKey="{00000000-0000-0000-0000-000000000000}" r:id="rId14" w:subsetted="0"/>
  </w:font>
  <w:font w:name="IBM Plex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40" w:before="240" w:lineRule="auto"/>
      <w:jc w:val="left"/>
    </w:pPr>
    <w:rPr>
      <w:rFonts w:ascii="Hind" w:cs="Hind" w:eastAsia="Hind" w:hAnsi="Hind"/>
      <w:b w:val="1"/>
      <w:bCs w:val="1"/>
      <w:color w:val="020094"/>
      <w:sz w:val="32"/>
      <w:szCs w:val="32"/>
    </w:rPr>
  </w:style>
  <w:style w:type="paragraph" w:styleId="Heading2">
    <w:name w:val="heading 2"/>
    <w:basedOn w:val="Normal"/>
    <w:next w:val="Normal"/>
    <w:pPr>
      <w:spacing w:after="200" w:lineRule="auto"/>
    </w:pPr>
    <w:rPr>
      <w:b w:val="1"/>
      <w:bCs w:val="1"/>
      <w:sz w:val="18"/>
      <w:szCs w:val="18"/>
    </w:rPr>
  </w:style>
  <w:style w:type="paragraph" w:styleId="Heading3">
    <w:name w:val="heading 3"/>
    <w:basedOn w:val="Normal"/>
    <w:next w:val="Normal"/>
    <w:pPr>
      <w:spacing w:after="200" w:lineRule="auto"/>
      <w:jc w:val="left"/>
    </w:pPr>
    <w:rPr>
      <w:rFonts w:ascii="Poppins" w:cs="Poppins" w:eastAsia="Poppins" w:hAnsi="Poppins"/>
      <w:color w:val="999999"/>
      <w:sz w:val="12"/>
      <w:szCs w:val="12"/>
    </w:rPr>
  </w:style>
  <w:style w:type="paragraph" w:styleId="Heading4">
    <w:name w:val="heading 4"/>
    <w:basedOn w:val="Normal"/>
    <w:next w:val="Normal"/>
    <w:pPr>
      <w:pageBreakBefore w:val="0"/>
      <w:ind w:left="226.7716535433071"/>
      <w:jc w:val="left"/>
    </w:pPr>
    <w:rPr>
      <w:rFonts w:ascii="Hind" w:cs="Hind" w:eastAsia="Hind" w:hAnsi="Hind"/>
      <w:color w:val="666666"/>
      <w:sz w:val="16"/>
      <w:szCs w:val="16"/>
    </w:rPr>
  </w:style>
  <w:style w:type="paragraph" w:styleId="Heading5">
    <w:name w:val="heading 5"/>
    <w:basedOn w:val="Normal"/>
    <w:next w:val="Normal"/>
    <w:pPr>
      <w:pageBreakBefore w:val="0"/>
      <w:spacing w:after="255" w:before="255" w:lineRule="auto"/>
    </w:pPr>
    <w:rPr>
      <w:b w:val="1"/>
      <w:bCs w:val="1"/>
      <w:i w:val="0"/>
      <w:iCs w:val="0"/>
      <w:sz w:val="18"/>
      <w:szCs w:val="18"/>
    </w:rPr>
  </w:style>
  <w:style w:type="paragraph" w:styleId="Heading6">
    <w:name w:val="heading 6"/>
    <w:basedOn w:val="Normal"/>
    <w:next w:val="Normal"/>
    <w:pPr>
      <w:pageBreakBefore w:val="0"/>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0.png"/><Relationship Id="rId22" Type="http://schemas.openxmlformats.org/officeDocument/2006/relationships/hyperlink" Target="https://www.ownml.co/" TargetMode="External"/><Relationship Id="rId10" Type="http://schemas.openxmlformats.org/officeDocument/2006/relationships/image" Target="media/image4.png"/><Relationship Id="rId21" Type="http://schemas.openxmlformats.org/officeDocument/2006/relationships/hyperlink" Target="https://creativecommons.org/licenses/by-sa/4.0/" TargetMode="External"/><Relationship Id="rId13" Type="http://schemas.openxmlformats.org/officeDocument/2006/relationships/image" Target="media/image9.png"/><Relationship Id="rId24" Type="http://schemas.openxmlformats.org/officeDocument/2006/relationships/hyperlink" Target="https://calendar.google.com/calendar/u/0/appointments/schedules/AcZssZ01twDReOp1fMth80wKIkyE6nFz4y5c2NO7zRlU6rEBi5uUvW4v-2y58-xjuIBoo2GR10ZHKmEw" TargetMode="External"/><Relationship Id="rId12" Type="http://schemas.openxmlformats.org/officeDocument/2006/relationships/image" Target="media/image12.png"/><Relationship Id="rId23" Type="http://schemas.openxmlformats.org/officeDocument/2006/relationships/hyperlink" Target="https://www.ownml.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5.png"/><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Hind-regular.ttf"/><Relationship Id="rId12" Type="http://schemas.openxmlformats.org/officeDocument/2006/relationships/font" Target="fonts/Poppins-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Poppins-regular.ttf"/><Relationship Id="rId15" Type="http://schemas.openxmlformats.org/officeDocument/2006/relationships/font" Target="fonts/IBMPlexMono-regular.ttf"/><Relationship Id="rId14" Type="http://schemas.openxmlformats.org/officeDocument/2006/relationships/font" Target="fonts/Hind-bold.ttf"/><Relationship Id="rId17" Type="http://schemas.openxmlformats.org/officeDocument/2006/relationships/font" Target="fonts/IBMPlexMono-italic.ttf"/><Relationship Id="rId16" Type="http://schemas.openxmlformats.org/officeDocument/2006/relationships/font" Target="fonts/IBMPlexMono-bold.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IBMPlex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