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1087A" w:rsidP="0031087A">
      <w:pPr>
        <w:pStyle w:val="Title"/>
      </w:pPr>
      <w:r>
        <w:t>StochFit QuickStart Tutorial</w:t>
      </w:r>
    </w:p>
    <w:p w:rsidR="00893E50" w:rsidRDefault="00893E50" w:rsidP="0031087A">
      <w:pPr>
        <w:pStyle w:val="Heading1"/>
      </w:pPr>
      <w:r>
        <w:t>Model Independent Fitting</w:t>
      </w:r>
    </w:p>
    <w:p w:rsidR="0031087A" w:rsidRDefault="0031087A" w:rsidP="00893E50">
      <w:pPr>
        <w:pStyle w:val="Heading2"/>
      </w:pPr>
      <w:r>
        <w:t>Before the Fit</w:t>
      </w:r>
    </w:p>
    <w:p w:rsidR="0031087A" w:rsidRPr="0031087A" w:rsidRDefault="0031087A" w:rsidP="00893E50">
      <w:pPr>
        <w:pStyle w:val="Heading3"/>
      </w:pPr>
      <w:r>
        <w:t>Data Format</w:t>
      </w:r>
    </w:p>
    <w:p w:rsidR="0031087A" w:rsidRDefault="0031087A" w:rsidP="0031087A">
      <w:r>
        <w:t>StochFit expects 3 or 4 column data files in the following format:</w:t>
      </w:r>
    </w:p>
    <w:p w:rsidR="0031087A" w:rsidRDefault="0031087A" w:rsidP="0031087A">
      <w:r>
        <w:t>Q</w:t>
      </w:r>
      <w:r>
        <w:tab/>
        <w:t>R</w:t>
      </w:r>
      <w:r>
        <w:tab/>
        <w:t>dR</w:t>
      </w:r>
      <w:r>
        <w:tab/>
        <w:t>dQ</w:t>
      </w:r>
    </w:p>
    <w:p w:rsidR="0031087A" w:rsidRDefault="0031087A" w:rsidP="0031087A">
      <w:r>
        <w:t xml:space="preserve">Where the errors (dR and dQ) can be either in variance or standard deviation. Standard deviation is the default setting. Data points with negative reflectivity intensities, or negative errors are discarded in the fitting procedure. If the error is in variance, select </w:t>
      </w:r>
    </w:p>
    <w:p w:rsidR="0031087A" w:rsidRDefault="0031087A" w:rsidP="0031087A">
      <w:r>
        <w:t xml:space="preserve">Options </w:t>
      </w:r>
      <w:r>
        <w:sym w:font="Wingdings" w:char="F0E0"/>
      </w:r>
      <w:r>
        <w:t xml:space="preserve"> Miscellaneous Options </w:t>
      </w:r>
      <w:r>
        <w:sym w:font="Wingdings" w:char="F0E0"/>
      </w:r>
      <w:r>
        <w:t xml:space="preserve"> Errors are in Variance</w:t>
      </w:r>
    </w:p>
    <w:p w:rsidR="0031087A" w:rsidRDefault="0031087A" w:rsidP="00893E50">
      <w:pPr>
        <w:pStyle w:val="Heading3"/>
      </w:pPr>
      <w:r>
        <w:t>Load the Data</w:t>
      </w:r>
    </w:p>
    <w:p w:rsidR="00893E50" w:rsidRDefault="0031087A" w:rsidP="00C005EB">
      <w:pPr>
        <w:rPr>
          <w:rFonts w:asciiTheme="majorHAnsi" w:hAnsiTheme="majorHAnsi"/>
        </w:rPr>
      </w:pPr>
      <w:r>
        <w:t xml:space="preserve">Select </w:t>
      </w:r>
      <w:r w:rsidR="00E771A1">
        <w:sym w:font="Wingdings" w:char="F081"/>
      </w:r>
      <w:r w:rsidR="00E771A1">
        <w:t xml:space="preserve"> (</w:t>
      </w:r>
      <w:r w:rsidR="00E771A1">
        <w:fldChar w:fldCharType="begin"/>
      </w:r>
      <w:r w:rsidR="00E771A1">
        <w:instrText xml:space="preserve"> REF _Ref194294412 \h </w:instrText>
      </w:r>
      <w:r w:rsidR="00E771A1">
        <w:fldChar w:fldCharType="separate"/>
      </w:r>
      <w:r w:rsidR="00C005EB">
        <w:t xml:space="preserve">Figure </w:t>
      </w:r>
      <w:r w:rsidR="00C005EB">
        <w:rPr>
          <w:noProof/>
        </w:rPr>
        <w:t>1</w:t>
      </w:r>
      <w:r w:rsidR="00E771A1">
        <w:fldChar w:fldCharType="end"/>
      </w:r>
      <w:r w:rsidR="00E771A1">
        <w:t>) in the StochFit graphical user interface (GUI</w:t>
      </w:r>
      <w:r w:rsidR="00893E50">
        <w:t>) and s</w:t>
      </w:r>
      <w:r w:rsidR="00E771A1">
        <w:t xml:space="preserve">elect your data file. </w:t>
      </w:r>
      <w:r w:rsidR="00893E50">
        <w:t>If you have previously fit this data, you will be asked if you want to resume. If you do not resume, enter</w:t>
      </w:r>
      <w:r w:rsidR="00952C81">
        <w:t xml:space="preserve"> the expected layer thickness into </w:t>
      </w:r>
      <w:r w:rsidR="00952C81">
        <w:sym w:font="Wingdings" w:char="F082"/>
      </w:r>
      <w:r w:rsidR="00952C81">
        <w:t xml:space="preserve">, the expected layer SLD into </w:t>
      </w:r>
      <w:r w:rsidR="00952C81">
        <w:sym w:font="Wingdings" w:char="F083"/>
      </w:r>
      <w:r w:rsidR="00952C81">
        <w:t xml:space="preserve">,  the subphase SLD into </w:t>
      </w:r>
      <w:r w:rsidR="00952C81">
        <w:sym w:font="Wingdings" w:char="F084"/>
      </w:r>
      <w:r w:rsidR="00952C81">
        <w:t xml:space="preserve">, and the number of small boxes to use into </w:t>
      </w:r>
      <w:r w:rsidR="00952C81">
        <w:sym w:font="Wingdings" w:char="F085"/>
      </w:r>
      <w:r w:rsidR="00E771A1">
        <w:t xml:space="preserve"> </w:t>
      </w:r>
      <w:r w:rsidR="00952C81">
        <w:t xml:space="preserve">(approximately 1.5 boxes per </w:t>
      </w:r>
      <w:r w:rsidR="00952C81" w:rsidRPr="00893E50">
        <w:t>Å</w:t>
      </w:r>
      <w:r w:rsidR="00893E50" w:rsidRPr="00893E50">
        <w:t xml:space="preserve"> of film thickness)</w:t>
      </w:r>
      <w:r w:rsidR="00893E50">
        <w:rPr>
          <w:rFonts w:asciiTheme="majorHAnsi" w:hAnsiTheme="majorHAnsi"/>
        </w:rPr>
        <w:t>. The details of each parameter are explained in depth in the accompanying manual.</w:t>
      </w:r>
    </w:p>
    <w:p w:rsidR="00C005EB" w:rsidRDefault="00C005EB" w:rsidP="00C005EB"/>
    <w:p w:rsidR="00893E50" w:rsidRPr="00893E50" w:rsidRDefault="00893E50" w:rsidP="00893E50">
      <w:pPr>
        <w:pStyle w:val="Heading2"/>
      </w:pPr>
      <w:r w:rsidRPr="00893E50">
        <w:t>Begin the Fit</w:t>
      </w:r>
    </w:p>
    <w:p w:rsidR="00893E50" w:rsidRDefault="00893E50" w:rsidP="00893E50">
      <w:r>
        <w:t xml:space="preserve">Press Start </w:t>
      </w:r>
      <w:r>
        <w:sym w:font="Wingdings 2" w:char="F06F"/>
      </w:r>
      <w:r>
        <w:t xml:space="preserve"> (</w:t>
      </w:r>
      <w:r>
        <w:fldChar w:fldCharType="begin"/>
      </w:r>
      <w:r>
        <w:instrText xml:space="preserve"> REF _Ref194294412 \h </w:instrText>
      </w:r>
      <w:r>
        <w:fldChar w:fldCharType="separate"/>
      </w:r>
      <w:r w:rsidR="00C005EB">
        <w:t xml:space="preserve">Figure </w:t>
      </w:r>
      <w:r w:rsidR="00C005EB">
        <w:rPr>
          <w:noProof/>
        </w:rPr>
        <w:t>1</w:t>
      </w:r>
      <w:r>
        <w:fldChar w:fldCharType="end"/>
      </w:r>
      <w:r>
        <w:t>). The fit will begin, and the graphs will update approximately every 5 seconds. To end the fit, press Cancel. This will generate several files in the same directory as your data file</w:t>
      </w:r>
      <w:r w:rsidR="0044708D">
        <w:t>. The parameters referenced below are explained in more detail in the manual.</w:t>
      </w:r>
      <w:r w:rsidR="0066705F">
        <w:t xml:space="preserve"> Depending on the search algorithm, some parameters will not be used</w:t>
      </w:r>
    </w:p>
    <w:p w:rsidR="00893E50" w:rsidRDefault="00893E50" w:rsidP="00893E50">
      <w:pPr>
        <w:pStyle w:val="ListParagraph"/>
        <w:numPr>
          <w:ilvl w:val="0"/>
          <w:numId w:val="2"/>
        </w:numPr>
      </w:pPr>
      <w:r>
        <w:t>settings.xml – Contains all of the settings used to fit the date</w:t>
      </w:r>
    </w:p>
    <w:p w:rsidR="00893E50" w:rsidRDefault="00893E50" w:rsidP="00893E50">
      <w:pPr>
        <w:pStyle w:val="ListParagraph"/>
        <w:numPr>
          <w:ilvl w:val="0"/>
          <w:numId w:val="2"/>
        </w:numPr>
      </w:pPr>
      <w:r>
        <w:t xml:space="preserve">pop.dat – Contains </w:t>
      </w:r>
      <w:r w:rsidR="0044708D">
        <w:t>information used to generate the model independent fit. The first row contains (respectively) the smoothing parameter, the absorption parameter, the temperature for annealing, the normalization constant for the reflectivity, and a parameter for stochastic tunneling simulated annealing</w:t>
      </w:r>
      <w:r w:rsidR="00C005EB">
        <w:t>.  The remaining rows contain a parameter for each small box.</w:t>
      </w:r>
    </w:p>
    <w:p w:rsidR="00C005EB" w:rsidRDefault="00C005EB" w:rsidP="00893E50">
      <w:pPr>
        <w:pStyle w:val="ListParagraph"/>
        <w:numPr>
          <w:ilvl w:val="0"/>
          <w:numId w:val="2"/>
        </w:numPr>
      </w:pPr>
      <w:r>
        <w:t>rf.dat – Contains the current model independent reflectivity in Q, R</w:t>
      </w:r>
    </w:p>
    <w:p w:rsidR="00C005EB" w:rsidRPr="00C005EB" w:rsidRDefault="00C005EB" w:rsidP="0031087A">
      <w:pPr>
        <w:pStyle w:val="ListParagraph"/>
        <w:keepNext/>
        <w:numPr>
          <w:ilvl w:val="0"/>
          <w:numId w:val="2"/>
        </w:numPr>
      </w:pPr>
      <w:r>
        <w:lastRenderedPageBreak/>
        <w:t>rho.dat – Contains the current model independent normalized electron density profile in Z, Rho/Rho</w:t>
      </w:r>
      <w:r w:rsidRPr="00C005EB">
        <w:rPr>
          <w:vertAlign w:val="subscript"/>
        </w:rPr>
        <w:sym w:font="Symbol" w:char="F0A5"/>
      </w:r>
    </w:p>
    <w:p w:rsidR="00C005EB" w:rsidRDefault="00C005EB" w:rsidP="00C005EB">
      <w:pPr>
        <w:pStyle w:val="ListParagraph"/>
        <w:keepNext/>
        <w:rPr>
          <w:vertAlign w:val="subscript"/>
        </w:rPr>
      </w:pPr>
    </w:p>
    <w:p w:rsidR="00E771A1" w:rsidRDefault="0044708D" w:rsidP="00C005EB">
      <w:pPr>
        <w:pStyle w:val="ListParagraph"/>
        <w:keepNext/>
      </w:pPr>
      <w:r>
        <w:rPr>
          <w:noProof/>
        </w:rPr>
        <w:pict>
          <v:shapetype id="_x0000_t202" coordsize="21600,21600" o:spt="202" path="m,l,21600r21600,l21600,xe">
            <v:stroke joinstyle="miter"/>
            <v:path gradientshapeok="t" o:connecttype="rect"/>
          </v:shapetype>
          <v:shape id="_x0000_s1026" type="#_x0000_t202" style="position:absolute;left:0;text-align:left;margin-left:253.3pt;margin-top:19.6pt;width:26.45pt;height:21.35pt;z-index:251663360;mso-width-relative:margin;mso-height-relative:margin" o:regroupid="1" stroked="f">
            <v:textbox style="mso-next-textbox:#_x0000_s1026">
              <w:txbxContent>
                <w:p w:rsidR="0031087A" w:rsidRPr="0031087A" w:rsidRDefault="0031087A">
                  <w:pPr>
                    <w:rPr>
                      <w:sz w:val="28"/>
                      <w:szCs w:val="28"/>
                    </w:rPr>
                  </w:pPr>
                  <w:r w:rsidRPr="0031087A">
                    <w:rPr>
                      <w:sz w:val="28"/>
                      <w:szCs w:val="28"/>
                    </w:rPr>
                    <w:sym w:font="Wingdings" w:char="F081"/>
                  </w:r>
                </w:p>
              </w:txbxContent>
            </v:textbox>
          </v:shape>
        </w:pict>
      </w:r>
    </w:p>
    <w:p w:rsidR="00E771A1" w:rsidRDefault="0044708D" w:rsidP="0044708D">
      <w:pPr>
        <w:keepNext/>
        <w:tabs>
          <w:tab w:val="left" w:pos="7665"/>
        </w:tabs>
      </w:pPr>
      <w:r>
        <w:rPr>
          <w:noProof/>
        </w:rPr>
        <w:pict>
          <v:shapetype id="_x0000_t32" coordsize="21600,21600" o:spt="32" o:oned="t" path="m,l21600,21600e" filled="f">
            <v:path arrowok="t" fillok="f" o:connecttype="none"/>
            <o:lock v:ext="edit" shapetype="t"/>
          </v:shapetype>
          <v:shape id="_x0000_s1027" type="#_x0000_t32" style="position:absolute;margin-left:266.25pt;margin-top:12.6pt;width:.75pt;height:53.25pt;flip:x y;z-index:251664384" o:connectortype="straight" o:regroupid="1">
            <v:stroke startarrow="block"/>
          </v:shape>
        </w:pict>
      </w:r>
      <w:r>
        <w:tab/>
      </w:r>
    </w:p>
    <w:p w:rsidR="0031087A" w:rsidRDefault="0066705F" w:rsidP="0031087A">
      <w:pPr>
        <w:keepNext/>
      </w:pPr>
      <w:r>
        <w:rPr>
          <w:noProof/>
        </w:rPr>
        <w:pict>
          <v:shape id="_x0000_s1036" type="#_x0000_t32" style="position:absolute;margin-left:350.25pt;margin-top:329.15pt;width:0;height:28.15pt;z-index:251672576" o:connectortype="straight">
            <v:stroke endarrow="block"/>
          </v:shape>
        </w:pict>
      </w:r>
      <w:r>
        <w:rPr>
          <w:noProof/>
        </w:rPr>
        <w:pict>
          <v:shape id="_x0000_s1035" type="#_x0000_t32" style="position:absolute;margin-left:285pt;margin-top:329.9pt;width:0;height:28.15pt;z-index:251671552" o:connectortype="straight">
            <v:stroke endarrow="block"/>
          </v:shape>
        </w:pict>
      </w:r>
      <w:r>
        <w:rPr>
          <w:noProof/>
        </w:rPr>
        <w:pict>
          <v:shape id="_x0000_s1029" type="#_x0000_t202" style="position:absolute;margin-left:337.3pt;margin-top:308.55pt;width:26.45pt;height:21.35pt;z-index:251665408;mso-width-relative:margin;mso-height-relative:margin" stroked="f">
            <v:fill opacity="0"/>
            <v:textbox style="mso-next-textbox:#_x0000_s1029">
              <w:txbxContent>
                <w:p w:rsidR="0044708D" w:rsidRPr="0066705F" w:rsidRDefault="0066705F" w:rsidP="0066705F">
                  <w:r>
                    <w:rPr>
                      <w:sz w:val="28"/>
                      <w:szCs w:val="28"/>
                    </w:rPr>
                    <w:sym w:font="Wingdings" w:char="F087"/>
                  </w:r>
                </w:p>
              </w:txbxContent>
            </v:textbox>
          </v:shape>
        </w:pict>
      </w:r>
      <w:r>
        <w:rPr>
          <w:noProof/>
        </w:rPr>
        <w:pict>
          <v:shape id="_x0000_s1033" type="#_x0000_t202" style="position:absolute;margin-left:270.75pt;margin-top:310.05pt;width:26.45pt;height:21.35pt;z-index:251669504;mso-width-relative:margin;mso-height-relative:margin" stroked="f">
            <v:fill opacity="0"/>
            <v:textbox style="mso-next-textbox:#_x0000_s1033">
              <w:txbxContent>
                <w:p w:rsidR="0044708D" w:rsidRPr="0031087A" w:rsidRDefault="0044708D" w:rsidP="0044708D">
                  <w:pPr>
                    <w:rPr>
                      <w:sz w:val="28"/>
                      <w:szCs w:val="28"/>
                    </w:rPr>
                  </w:pPr>
                  <w:r>
                    <w:rPr>
                      <w:sz w:val="28"/>
                      <w:szCs w:val="28"/>
                    </w:rPr>
                    <w:sym w:font="Wingdings 2" w:char="F06F"/>
                  </w:r>
                </w:p>
              </w:txbxContent>
            </v:textbox>
          </v:shape>
        </w:pict>
      </w:r>
      <w:r>
        <w:rPr>
          <w:noProof/>
        </w:rPr>
        <w:pict>
          <v:shape id="_x0000_s1030" type="#_x0000_t202" style="position:absolute;margin-left:429.55pt;margin-top:217.05pt;width:26.45pt;height:21.35pt;z-index:251666432;mso-width-relative:margin;mso-height-relative:margin" stroked="f">
            <v:fill opacity="0"/>
            <v:textbox style="mso-next-textbox:#_x0000_s1030">
              <w:txbxContent>
                <w:p w:rsidR="0044708D" w:rsidRPr="0066705F" w:rsidRDefault="0066705F" w:rsidP="0066705F">
                  <w:r>
                    <w:rPr>
                      <w:sz w:val="28"/>
                      <w:szCs w:val="28"/>
                    </w:rPr>
                    <w:sym w:font="Wingdings" w:char="F085"/>
                  </w:r>
                </w:p>
              </w:txbxContent>
            </v:textbox>
          </v:shape>
        </w:pict>
      </w:r>
      <w:r>
        <w:rPr>
          <w:noProof/>
        </w:rPr>
        <w:pict>
          <v:shape id="_x0000_s1031" type="#_x0000_t202" style="position:absolute;margin-left:429.55pt;margin-top:76.9pt;width:26.45pt;height:21.35pt;z-index:251667456;mso-width-relative:margin;mso-height-relative:margin" stroked="f">
            <v:fill opacity="0"/>
            <v:textbox style="mso-next-textbox:#_x0000_s1031">
              <w:txbxContent>
                <w:p w:rsidR="0044708D" w:rsidRPr="0031087A" w:rsidRDefault="0066705F" w:rsidP="0044708D">
                  <w:pPr>
                    <w:rPr>
                      <w:sz w:val="28"/>
                      <w:szCs w:val="28"/>
                    </w:rPr>
                  </w:pPr>
                  <w:r>
                    <w:rPr>
                      <w:sz w:val="28"/>
                      <w:szCs w:val="28"/>
                    </w:rPr>
                    <w:sym w:font="Wingdings" w:char="F084"/>
                  </w:r>
                </w:p>
              </w:txbxContent>
            </v:textbox>
          </v:shape>
        </w:pict>
      </w:r>
      <w:r>
        <w:rPr>
          <w:noProof/>
        </w:rPr>
        <w:pict>
          <v:shape id="_x0000_s1032" type="#_x0000_t202" style="position:absolute;margin-left:314.8pt;margin-top:76.9pt;width:26.45pt;height:21.35pt;z-index:251668480;mso-width-relative:margin;mso-height-relative:margin" stroked="f">
            <v:fill opacity="0"/>
            <v:textbox style="mso-next-textbox:#_x0000_s1032">
              <w:txbxContent>
                <w:p w:rsidR="0044708D" w:rsidRPr="0031087A" w:rsidRDefault="0044708D" w:rsidP="0044708D">
                  <w:pPr>
                    <w:rPr>
                      <w:sz w:val="28"/>
                      <w:szCs w:val="28"/>
                    </w:rPr>
                  </w:pPr>
                  <w:r>
                    <w:rPr>
                      <w:sz w:val="28"/>
                      <w:szCs w:val="28"/>
                    </w:rPr>
                    <w:sym w:font="Wingdings" w:char="F083"/>
                  </w:r>
                </w:p>
              </w:txbxContent>
            </v:textbox>
          </v:shape>
        </w:pict>
      </w:r>
      <w:r w:rsidR="0044708D">
        <w:rPr>
          <w:noProof/>
        </w:rPr>
        <w:pict>
          <v:shape id="_x0000_s1034" type="#_x0000_t202" style="position:absolute;margin-left:315.75pt;margin-top:125.2pt;width:26.45pt;height:21.35pt;z-index:251670528;mso-width-relative:margin;mso-height-relative:margin" stroked="f">
            <v:fill opacity="0"/>
            <v:textbox style="mso-next-textbox:#_x0000_s1034">
              <w:txbxContent>
                <w:p w:rsidR="0044708D" w:rsidRPr="0031087A" w:rsidRDefault="0044708D" w:rsidP="0044708D">
                  <w:pPr>
                    <w:rPr>
                      <w:sz w:val="28"/>
                      <w:szCs w:val="28"/>
                    </w:rPr>
                  </w:pPr>
                  <w:r>
                    <w:rPr>
                      <w:sz w:val="28"/>
                      <w:szCs w:val="28"/>
                    </w:rPr>
                    <w:sym w:font="Wingdings" w:char="F082"/>
                  </w:r>
                </w:p>
              </w:txbxContent>
            </v:textbox>
          </v:shape>
        </w:pict>
      </w:r>
      <w:r w:rsidR="0031087A">
        <w:rPr>
          <w:noProof/>
        </w:rPr>
        <w:drawing>
          <wp:inline distT="0" distB="0" distL="0" distR="0">
            <wp:extent cx="5943600" cy="492041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4920414"/>
                    </a:xfrm>
                    <a:prstGeom prst="rect">
                      <a:avLst/>
                    </a:prstGeom>
                    <a:noFill/>
                    <a:ln w="9525">
                      <a:noFill/>
                      <a:miter lim="800000"/>
                      <a:headEnd/>
                      <a:tailEnd/>
                    </a:ln>
                  </pic:spPr>
                </pic:pic>
              </a:graphicData>
            </a:graphic>
          </wp:inline>
        </w:drawing>
      </w:r>
    </w:p>
    <w:p w:rsidR="0031087A" w:rsidRDefault="00E771A1" w:rsidP="0031087A">
      <w:pPr>
        <w:pStyle w:val="Caption"/>
      </w:pPr>
      <w:bookmarkStart w:id="0" w:name="_Ref194294412"/>
      <w:r>
        <w:t xml:space="preserve">Figure </w:t>
      </w:r>
      <w:fldSimple w:instr=" SEQ Figure \* ARABIC ">
        <w:r w:rsidR="00C005EB">
          <w:rPr>
            <w:noProof/>
          </w:rPr>
          <w:t>1</w:t>
        </w:r>
      </w:fldSimple>
      <w:bookmarkEnd w:id="0"/>
      <w:r w:rsidR="0031087A">
        <w:t>. Graphical User Interface for StochFit</w:t>
      </w:r>
    </w:p>
    <w:p w:rsidR="00C005EB" w:rsidRDefault="00C005EB">
      <w:r>
        <w:br w:type="page"/>
      </w:r>
    </w:p>
    <w:p w:rsidR="00C005EB" w:rsidRDefault="00C005EB" w:rsidP="00C005EB">
      <w:pPr>
        <w:pStyle w:val="Heading1"/>
      </w:pPr>
      <w:r>
        <w:lastRenderedPageBreak/>
        <w:t>Extracting Parameters from a Model Independent Fit</w:t>
      </w:r>
    </w:p>
    <w:p w:rsidR="00C005EB" w:rsidRDefault="00C005EB" w:rsidP="00C005EB"/>
    <w:p w:rsidR="00C005EB" w:rsidRDefault="00C005EB" w:rsidP="00C005EB">
      <w:r>
        <w:t>In many cases, it is preferred to generate parameters more closely resembling those of a model dependent box fitting. In this case, press the “Modeling” button on the StochFit window (</w:t>
      </w:r>
      <w:r>
        <w:sym w:font="Wingdings" w:char="F087"/>
      </w:r>
      <w:r>
        <w:t xml:space="preserve"> in </w:t>
      </w:r>
      <w:r>
        <w:fldChar w:fldCharType="begin"/>
      </w:r>
      <w:r>
        <w:instrText xml:space="preserve"> REF _Ref194294412 \h </w:instrText>
      </w:r>
      <w:r>
        <w:fldChar w:fldCharType="separate"/>
      </w:r>
      <w:r>
        <w:t xml:space="preserve">Figure </w:t>
      </w:r>
      <w:r>
        <w:rPr>
          <w:noProof/>
        </w:rPr>
        <w:t>1</w:t>
      </w:r>
      <w:r>
        <w:fldChar w:fldCharType="end"/>
      </w:r>
      <w:r>
        <w:t xml:space="preserve">) to bring up the window to perform this procedure </w:t>
      </w:r>
      <w:r w:rsidR="00CF3E34">
        <w:t>(</w:t>
      </w:r>
      <w:r w:rsidR="00CF3E34">
        <w:fldChar w:fldCharType="begin"/>
      </w:r>
      <w:r w:rsidR="00CF3E34">
        <w:instrText xml:space="preserve"> REF _Ref194298984 \h </w:instrText>
      </w:r>
      <w:r w:rsidR="00CF3E34">
        <w:fldChar w:fldCharType="separate"/>
      </w:r>
      <w:r w:rsidR="00CF3E34">
        <w:t xml:space="preserve">Figure </w:t>
      </w:r>
      <w:r w:rsidR="00CF3E34">
        <w:rPr>
          <w:noProof/>
        </w:rPr>
        <w:t>2</w:t>
      </w:r>
      <w:r w:rsidR="00CF3E34">
        <w:fldChar w:fldCharType="end"/>
      </w:r>
      <w:r w:rsidR="00CF3E34">
        <w:t>)</w:t>
      </w:r>
      <w:r w:rsidR="00945718">
        <w:t>. After providing a</w:t>
      </w:r>
      <w:r w:rsidR="00CC25CF">
        <w:t>n approximate solution</w:t>
      </w:r>
      <w:r w:rsidR="00945718">
        <w:t xml:space="preserve"> that somewhat reproduces the model independent fit, press the “Fit” button to perform a non-linear least squares fit to the model independent electron density profile. </w:t>
      </w:r>
      <w:r w:rsidR="00EA6E4C">
        <w:t xml:space="preserve">This procedure will place a file named rhofit.dat in the same directory as the data file that will contain the data fit. </w:t>
      </w:r>
      <w:r w:rsidR="00945718">
        <w:t>To inspect the error in the parameters, press “Fit Details”.</w:t>
      </w:r>
      <w:r w:rsidR="00BA41E9">
        <w:t xml:space="preserve"> </w:t>
      </w:r>
    </w:p>
    <w:p w:rsidR="00EA6E4C" w:rsidRDefault="00EA6E4C" w:rsidP="00C005EB"/>
    <w:p w:rsidR="00C005EB" w:rsidRDefault="00C005EB" w:rsidP="00C005EB">
      <w:pPr>
        <w:keepNext/>
      </w:pPr>
      <w:r>
        <w:rPr>
          <w:noProof/>
        </w:rPr>
        <w:drawing>
          <wp:inline distT="0" distB="0" distL="0" distR="0">
            <wp:extent cx="5943600" cy="511833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943600" cy="5118332"/>
                    </a:xfrm>
                    <a:prstGeom prst="rect">
                      <a:avLst/>
                    </a:prstGeom>
                    <a:noFill/>
                    <a:ln w="9525">
                      <a:noFill/>
                      <a:miter lim="800000"/>
                      <a:headEnd/>
                      <a:tailEnd/>
                    </a:ln>
                  </pic:spPr>
                </pic:pic>
              </a:graphicData>
            </a:graphic>
          </wp:inline>
        </w:drawing>
      </w:r>
    </w:p>
    <w:p w:rsidR="00C005EB" w:rsidRPr="00C005EB" w:rsidRDefault="00C005EB" w:rsidP="00C005EB">
      <w:pPr>
        <w:pStyle w:val="Caption"/>
      </w:pPr>
      <w:bookmarkStart w:id="1" w:name="_Ref194298984"/>
      <w:r>
        <w:t xml:space="preserve">Figure </w:t>
      </w:r>
      <w:fldSimple w:instr=" SEQ Figure \* ARABIC ">
        <w:r>
          <w:rPr>
            <w:noProof/>
          </w:rPr>
          <w:t>2</w:t>
        </w:r>
      </w:fldSimple>
      <w:bookmarkEnd w:id="1"/>
      <w:r>
        <w:t xml:space="preserve"> Dialog for generating Model Dependent Fit from a Model Independent Fit</w:t>
      </w:r>
    </w:p>
    <w:p w:rsidR="0031087A" w:rsidRPr="0031087A" w:rsidRDefault="0031087A" w:rsidP="0031087A"/>
    <w:sectPr w:rsidR="0031087A" w:rsidRPr="0031087A" w:rsidSect="00C005EB">
      <w:headerReference w:type="default" r:id="rId9"/>
      <w:pgSz w:w="12240" w:h="15840"/>
      <w:pgMar w:top="1440" w:right="1440" w:bottom="99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4837" w:rsidRDefault="005F4837" w:rsidP="00C005EB">
      <w:pPr>
        <w:spacing w:after="0" w:line="240" w:lineRule="auto"/>
      </w:pPr>
      <w:r>
        <w:separator/>
      </w:r>
    </w:p>
  </w:endnote>
  <w:endnote w:type="continuationSeparator" w:id="1">
    <w:p w:rsidR="005F4837" w:rsidRDefault="005F4837" w:rsidP="00C005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4837" w:rsidRDefault="005F4837" w:rsidP="00C005EB">
      <w:pPr>
        <w:spacing w:after="0" w:line="240" w:lineRule="auto"/>
      </w:pPr>
      <w:r>
        <w:separator/>
      </w:r>
    </w:p>
  </w:footnote>
  <w:footnote w:type="continuationSeparator" w:id="1">
    <w:p w:rsidR="005F4837" w:rsidRDefault="005F4837" w:rsidP="00C005E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48057"/>
      <w:docPartObj>
        <w:docPartGallery w:val="Page Numbers (Top of Page)"/>
        <w:docPartUnique/>
      </w:docPartObj>
    </w:sdtPr>
    <w:sdtContent>
      <w:p w:rsidR="00C005EB" w:rsidRDefault="00C005EB">
        <w:pPr>
          <w:pStyle w:val="Header"/>
          <w:jc w:val="right"/>
        </w:pPr>
        <w:fldSimple w:instr=" PAGE   \* MERGEFORMAT ">
          <w:r w:rsidR="00EA6E4C">
            <w:rPr>
              <w:noProof/>
            </w:rPr>
            <w:t>1</w:t>
          </w:r>
        </w:fldSimple>
      </w:p>
    </w:sdtContent>
  </w:sdt>
  <w:p w:rsidR="00C005EB" w:rsidRDefault="00C005E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01067"/>
    <w:multiLevelType w:val="hybridMultilevel"/>
    <w:tmpl w:val="68726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E17FA2"/>
    <w:multiLevelType w:val="hybridMultilevel"/>
    <w:tmpl w:val="759A0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1087A"/>
    <w:rsid w:val="0031087A"/>
    <w:rsid w:val="0044708D"/>
    <w:rsid w:val="005F4837"/>
    <w:rsid w:val="0066705F"/>
    <w:rsid w:val="00893E50"/>
    <w:rsid w:val="00945718"/>
    <w:rsid w:val="00952C81"/>
    <w:rsid w:val="00BA41E9"/>
    <w:rsid w:val="00C005EB"/>
    <w:rsid w:val="00CC25CF"/>
    <w:rsid w:val="00CF3E34"/>
    <w:rsid w:val="00E771A1"/>
    <w:rsid w:val="00EA6E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7"/>
        <o:r id="V:Rule4" type="connector" idref="#_x0000_s1035"/>
        <o:r id="V:Rule5" type="connector" idref="#_x0000_s1036"/>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087A"/>
    <w:rPr>
      <w:sz w:val="24"/>
    </w:rPr>
  </w:style>
  <w:style w:type="paragraph" w:styleId="Heading1">
    <w:name w:val="heading 1"/>
    <w:basedOn w:val="Normal"/>
    <w:next w:val="Normal"/>
    <w:link w:val="Heading1Char"/>
    <w:uiPriority w:val="9"/>
    <w:qFormat/>
    <w:rsid w:val="003108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08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3E5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087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087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108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1087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108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87A"/>
    <w:rPr>
      <w:rFonts w:ascii="Tahoma" w:hAnsi="Tahoma" w:cs="Tahoma"/>
      <w:sz w:val="16"/>
      <w:szCs w:val="16"/>
    </w:rPr>
  </w:style>
  <w:style w:type="paragraph" w:styleId="Caption">
    <w:name w:val="caption"/>
    <w:basedOn w:val="Normal"/>
    <w:next w:val="Normal"/>
    <w:uiPriority w:val="35"/>
    <w:unhideWhenUsed/>
    <w:qFormat/>
    <w:rsid w:val="0031087A"/>
    <w:pPr>
      <w:spacing w:line="240" w:lineRule="auto"/>
    </w:pPr>
    <w:rPr>
      <w:b/>
      <w:bCs/>
      <w:color w:val="4F81BD" w:themeColor="accent1"/>
      <w:szCs w:val="18"/>
    </w:rPr>
  </w:style>
  <w:style w:type="character" w:customStyle="1" w:styleId="Heading3Char">
    <w:name w:val="Heading 3 Char"/>
    <w:basedOn w:val="DefaultParagraphFont"/>
    <w:link w:val="Heading3"/>
    <w:uiPriority w:val="9"/>
    <w:rsid w:val="00893E50"/>
    <w:rPr>
      <w:rFonts w:asciiTheme="majorHAnsi" w:eastAsiaTheme="majorEastAsia" w:hAnsiTheme="majorHAnsi" w:cstheme="majorBidi"/>
      <w:b/>
      <w:bCs/>
      <w:color w:val="4F81BD" w:themeColor="accent1"/>
      <w:sz w:val="24"/>
    </w:rPr>
  </w:style>
  <w:style w:type="paragraph" w:styleId="ListParagraph">
    <w:name w:val="List Paragraph"/>
    <w:basedOn w:val="Normal"/>
    <w:uiPriority w:val="34"/>
    <w:qFormat/>
    <w:rsid w:val="00893E50"/>
    <w:pPr>
      <w:ind w:left="720"/>
      <w:contextualSpacing/>
    </w:pPr>
  </w:style>
  <w:style w:type="paragraph" w:styleId="Header">
    <w:name w:val="header"/>
    <w:basedOn w:val="Normal"/>
    <w:link w:val="HeaderChar"/>
    <w:uiPriority w:val="99"/>
    <w:unhideWhenUsed/>
    <w:rsid w:val="00C005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5EB"/>
    <w:rPr>
      <w:sz w:val="24"/>
    </w:rPr>
  </w:style>
  <w:style w:type="paragraph" w:styleId="Footer">
    <w:name w:val="footer"/>
    <w:basedOn w:val="Normal"/>
    <w:link w:val="FooterChar"/>
    <w:uiPriority w:val="99"/>
    <w:semiHidden/>
    <w:unhideWhenUsed/>
    <w:rsid w:val="00C005E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005EB"/>
    <w:rPr>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9592F"/>
    <w:rsid w:val="0039592F"/>
    <w:rsid w:val="004453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23AE4010004CEDA6E18B9F8FE0E66E">
    <w:name w:val="B523AE4010004CEDA6E18B9F8FE0E66E"/>
    <w:rsid w:val="0039592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Danauskas</dc:creator>
  <cp:keywords/>
  <dc:description/>
  <cp:lastModifiedBy>Steve Danauskas</cp:lastModifiedBy>
  <cp:revision>5</cp:revision>
  <dcterms:created xsi:type="dcterms:W3CDTF">2008-03-26T16:19:00Z</dcterms:created>
  <dcterms:modified xsi:type="dcterms:W3CDTF">2008-03-26T17:57:00Z</dcterms:modified>
</cp:coreProperties>
</file>