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020 de Octubre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de Avance de las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continuarán realizando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planean realizar al terminar las actuales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Implementó el login de administrador y dejó configurados los endpoints y el middleware necesarios para asegurar el flujo de autenticación y autorización. Como siguiente paso, desarrollará la funcionalidad de configuración del dashboard dentro del panel de administración.</w:t>
            </w:r>
          </w:p>
          <w:p w:rsidR="00000000" w:rsidDel="00000000" w:rsidP="00000000" w:rsidRDefault="00000000" w:rsidRPr="00000000" w14:paraId="00000034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Cristóbal Álvarez: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Ajustó el script de la base de pruebas para poder insertar registros erróneos y validar casos límite, y comenzó a trabajar el modelo aumentando su dimensionalidad (nuevas características). Pendiente: auditar columnas de la BD para decidir qué agregar o quitar, normalizar la tabla de reportes para disminuir ruido y definir correctamente la tabla de intersección.</w:t>
            </w:r>
          </w:p>
          <w:p w:rsidR="00000000" w:rsidDel="00000000" w:rsidP="00000000" w:rsidRDefault="00000000" w:rsidRPr="00000000" w14:paraId="00000035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Avanzó en la Historia 15 creando y finalizando la tabla que despliega las alertas almacenadas con columnas básicas de momento; actualizó la consulta a la BD y adaptó la página para mostrar las nuevas columnas. El desarrollo está prácticamente listo y se enfocará en pulir detalles de consultas y estilos para cerrar la funcionalidad mañana.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-499096</wp:posOffset>
          </wp:positionV>
          <wp:extent cx="2209800" cy="367030"/>
          <wp:effectExtent b="0" l="0" r="0" t="0"/>
          <wp:wrapSquare wrapText="bothSides" distB="0" distT="0" distL="114300" distR="114300"/>
          <wp:docPr id="1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cI9GKk2cLSVZTSM/qih9MyWxdw==">CgMxLjA4AHIhMTVqMU16WnphRnVRQXI4b3JiMzRyQk5taEJucnVTeU9n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