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022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Investigará cómo mostrar en la plataforma las funciones de administrador únicamente cuando el usuario haya iniciado sesión como admin; en caso contrario, la interfaz deberá exponer solo las capacidades de usuario estándar. Definirá la lógica de control de acceso (guards/middleware) y los checks en el frontend para asegurar una experiencia coherente y segura.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Ajustará el script de funciones de alertas para alinear los disparadores con los umbrales definidos. Realizó correcciones al modelo de clustering para incrementar su dimensionalidad y continuará entrenándolo con el 40% de los datos para obtener métricas de ejecución y validar desempeño antes de escalar.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Aplicó ajustes adicionales a la Historia 15 tanto en el frontend como en la tabla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detalle_alerta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la base de datos, y retocó el Burndown Chart. Hoy se enfocará en documentación: desarrollar el Sprint Backlog del Sprint 2 y modificar la Historia 3 para reflejar los cambios acordados.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-499094</wp:posOffset>
          </wp:positionV>
          <wp:extent cx="2209800" cy="367030"/>
          <wp:effectExtent b="0" l="0" r="0" t="0"/>
          <wp:wrapSquare wrapText="bothSides" distB="0" distT="0" distL="114300" distR="11430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88EAHPKIAMR74uH4yObDP8BqOg==">CgMxLjA4AHIhMWNsblUtbllZdVNReFpzdFpMWmFONk11OGI4UW5abEhk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