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024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Implementó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checkbox de control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el Dashboard, el cual permitirá al administrador activar o desactivar gráficos de manera visual e intuitiva. Con esta funcionalidad sentó las bases de la futura gestión dinámica de componentes dentro de la interfaz. Planea avanzar en la integración del estado de los gráficos y la persistencia de esa información.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Avanzó en la configuración del entorno de pruebas, ajustando la estructura de las tablas para facilitar el proceso de validación de datos. Además, empezó a planificar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aumento de la dimensionalidad del modelo de clustering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investigando la factibilidad de incorporar nuevas variables sin comprometer la estabilidad ni el tiempo de ejecución del modelo.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Continuó completando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Sprint Backlog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incorporando nuevas tareas derivadas de las reuniones del equipo y asegurando que todas las historias del sprint estuvieran correctamente detalladas. En paralelo, avanzó en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Burndown Chart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actualizando las horas consumidas por jornada y preparando el formato para los registros diarios de la semana.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-499092</wp:posOffset>
          </wp:positionV>
          <wp:extent cx="2209800" cy="367030"/>
          <wp:effectExtent b="0" l="0" r="0" t="0"/>
          <wp:wrapSquare wrapText="bothSides" distB="0" distT="0" distL="114300" distR="114300"/>
          <wp:docPr id="1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78Nfvr2BTjr6QDZZzIquWun9eA==">CgMxLjA4AHIhMXJoVzVVY281eTJqWVAwZVBDZllYeS10X2tRdEtFSlVP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