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028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Continuó con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integración del control de visibilidad de gráficos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comprobando la coherencia entre el panel de administrador y la vista del usuario final. Su próximo paso será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vincular la información directamente con la base de datos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para que el estado de los gráficos se mantenga actualizado incluso tras reinicios o actualizaciones del sistema.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Entrenó nuevamente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modelo de clustering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utilizando el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80 % del dataset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con el propósito de obtener métricas más representativas de ejecución y desempeño. Mencionó que el proceso tomará tiempo, pero será clave para validar la robustez del modelo. También comenzó a revisar la estructura de las tablas asociadas a los reportes para detectar redundancias y posibles normalizaciones.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Trabajó en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actualización del Burndown Chart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incorporando los cambios más recientes en horas y actividades. Paralelamente, apoyó 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en la revisión de los modals y otros componentes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contribuyendo con observaciones de usabilidad y ajustes menores en el frontend. También registró avances en la documentación de las historias del sprint, reflejando las últimas decisiones tomadas por el equipo.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-499089</wp:posOffset>
          </wp:positionV>
          <wp:extent cx="2209800" cy="367030"/>
          <wp:effectExtent b="0" l="0" r="0" t="0"/>
          <wp:wrapSquare wrapText="bothSides" distB="0" distT="0" distL="114300" distR="114300"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RHDtKDhnuRX8JX4ImjC44Bsjwg==">CgMxLjA4AHIhMTFDcldteUc5XzRDY3BIeDNxSzliYS16Yk9qeGsxczly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