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031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un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toast de confirmación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notificar al administrador cuando los cambios en la configuración de los gráficos son guardados exitosamente. También añadió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botones de “Guardar” y “Cancelar”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al checklist de gráficos para optimizar la interacción del usuario en el panel de configuración. Como siguiente paso,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modificará la lógica de conexión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que el sistema opere directamente con la base de datos en lugar de depender de los archivos locales.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Dedicó la jornada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depurar la aplicación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asegurar su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compatibilidad completa con Windows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corrigiendo errores menores detectados durante las pruebas. Paralelamente, refinó la visualización de los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gráficos del modelo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lograr un aspecto más limpio y comprensible, y comenzó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rellenar las tablas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los datos correspondientes, asegurando consistencia y completitud en la base de producción.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Finalizó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asegurando que reflejara correctamente las horas y el avance total del Sprint 2. Cuadró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los tiempos registrados y procedió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planificar el Sprint 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dejando preparado el nuevo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ScrumBoard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Además, realizó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Review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Retrospective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cerrando formalmente el Sprint 2 y documentando los acuerdos para la siguiente iteración.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-499086</wp:posOffset>
          </wp:positionV>
          <wp:extent cx="2209800" cy="367030"/>
          <wp:effectExtent b="0" l="0" r="0" t="0"/>
          <wp:wrapSquare wrapText="bothSides" distB="0" distT="0" distL="114300" distR="114300"/>
          <wp:docPr id="2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kCI922g9d5HiEJS8d4cX6sVQA==">CgMxLjA4AHIhMTVNR1RveVNaRWxScmkweUJhT0lLX3htbGZnN2tHZm55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