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945"/>
        <w:gridCol w:w="1020"/>
        <w:gridCol w:w="1185"/>
        <w:gridCol w:w="1050"/>
        <w:tblGridChange w:id="0">
          <w:tblGrid>
            <w:gridCol w:w="1800"/>
            <w:gridCol w:w="3945"/>
            <w:gridCol w:w="1020"/>
            <w:gridCol w:w="1185"/>
            <w:gridCol w:w="10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  <w:t xml:space="preserve"> de Octubre del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Lugar: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Tipo Reunión: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Tema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Funcionalidades Sprint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Catalina Pichincura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Benjamín Cerón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Cristóbal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Agenda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145"/>
        <w:tblGridChange w:id="0">
          <w:tblGrid>
            <w:gridCol w:w="85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Presentación del incremento desarrollado durante el Sprint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Validación de historias de usuario completadas.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Observaciones y propuestas de mejora para el Sprint 3.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3d85c6"/>
          <w:u w:val="none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Desarrollo de la reunión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la Sprint Review del Sprint 2, el equipo presentó las nuevas funcionalidades desarrolladas en el sistema EcoPulse, enfocadas en el análisis ambiental y la mejora del panel de visualización.</w:t>
              <w:br w:type="textWrapping"/>
              <w:t xml:space="preserve"> Se mostró la integración de nuevos gráficos dinámicos que permiten visualizar tendencias de temperatura, humedad y material particulado (PM2.5), variables seleccionadas tras la reunión con la Product Owner, quien destacó la importancia de monitorear estos indicadores debido a su relación con las olas de calor, la ventilación urbana y la acumulación de contaminantes en época estival.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equipo explicó la actualización automática del gráfico de material particulado cada 10 minutos, así como la optimización de las consultas a la base de datos para garantizar la fluidez en la presentación de los datos.</w:t>
              <w:br w:type="textWrapping"/>
              <w:t xml:space="preserve"> Se incorporaron mejoras visuales y de usabilidad en el dashboard principal, incluyendo filtros de selección y exportación de datos, reforzando así la experiencia del usuario administrador.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presentaron también los avances en la matriz de riesgos, el Sprint Backlog actualizado y el Burndown Chart, que evidenció un progreso estable y una adecuada gestión del esfuerzo durante la iteración. Todas las historias priorizadas fueron completadas y validadas, demostrando una mejora en la coordinación del equipo y una participación más activa de la Product Owner, quien contribuyó con observaciones valiosas para orientar los próximos desarrollos.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Finalmente, se acordó que el Sprint 3 se centrará en optimizar el rendimiento del sistema, implementar un módulo de autenticación más robusto y profundizar el análisis de datos ambientales mediante técnicas de agrupamiento (clustering) para detectar patrones de comportamiento en las mediciones.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