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ACTA DE </w:t>
      </w:r>
      <w:r w:rsidDel="00000000" w:rsidR="00000000" w:rsidRPr="00000000">
        <w:rPr>
          <w:b w:val="1"/>
          <w:bCs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bCs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bCs w:val="1"/>
                <w:color w:val="2e74b5"/>
              </w:rPr>
            </w:pPr>
            <w:r w:rsidDel="00000000" w:rsidR="00000000" w:rsidRPr="00000000">
              <w:rPr>
                <w:b w:val="1"/>
                <w:bCs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17 de Noviembre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bCs w:val="1"/>
                <w:color w:val="2e74b5"/>
              </w:rPr>
            </w:pPr>
            <w:r w:rsidDel="00000000" w:rsidR="00000000" w:rsidRPr="00000000">
              <w:rPr>
                <w:b w:val="1"/>
                <w:bCs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bCs w:val="1"/>
                <w:color w:val="2e74b5"/>
              </w:rPr>
            </w:pPr>
            <w:r w:rsidDel="00000000" w:rsidR="00000000" w:rsidRPr="00000000">
              <w:rPr>
                <w:b w:val="1"/>
                <w:bCs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bCs w:val="1"/>
                <w:color w:val="2e74b5"/>
              </w:rPr>
            </w:pPr>
            <w:r w:rsidDel="00000000" w:rsidR="00000000" w:rsidRPr="00000000">
              <w:rPr>
                <w:b w:val="1"/>
                <w:bCs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bCs w:val="1"/>
                <w:color w:val="2e74b5"/>
              </w:rPr>
            </w:pPr>
            <w:r w:rsidDel="00000000" w:rsidR="00000000" w:rsidRPr="00000000">
              <w:rPr>
                <w:b w:val="1"/>
                <w:bCs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bCs w:val="1"/>
                <w:color w:val="2e74b5"/>
              </w:rPr>
            </w:pPr>
            <w:r w:rsidDel="00000000" w:rsidR="00000000" w:rsidRPr="00000000">
              <w:rPr>
                <w:b w:val="1"/>
                <w:bCs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bCs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bCs w:val="1"/>
                <w:color w:val="2e74b5"/>
              </w:rPr>
            </w:pPr>
            <w:r w:rsidDel="00000000" w:rsidR="00000000" w:rsidRPr="00000000">
              <w:rPr>
                <w:b w:val="1"/>
                <w:bCs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bCs w:val="1"/>
              </w:rPr>
            </w:pPr>
            <w:r w:rsidDel="00000000" w:rsidR="00000000" w:rsidRPr="00000000">
              <w:rPr>
                <w:b w:val="1"/>
                <w:bCs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bCs w:val="1"/>
                <w:color w:val="2e74b5"/>
              </w:rPr>
            </w:pPr>
            <w:r w:rsidDel="00000000" w:rsidR="00000000" w:rsidRPr="00000000">
              <w:rPr>
                <w:b w:val="1"/>
                <w:bCs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bCs w:val="1"/>
                <w:color w:val="2e74b5"/>
              </w:rPr>
            </w:pPr>
            <w:r w:rsidDel="00000000" w:rsidR="00000000" w:rsidRPr="00000000">
              <w:rPr>
                <w:b w:val="1"/>
                <w:bCs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bCs w:val="1"/>
                <w:color w:val="2e74b5"/>
              </w:rPr>
            </w:pPr>
            <w:r w:rsidDel="00000000" w:rsidR="00000000" w:rsidRPr="00000000">
              <w:rPr>
                <w:b w:val="1"/>
                <w:bCs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bCs w:val="1"/>
          <w:color w:val="2e74b5"/>
        </w:rPr>
      </w:pPr>
      <w:r w:rsidDel="00000000" w:rsidR="00000000" w:rsidRPr="00000000">
        <w:rPr>
          <w:b w:val="1"/>
          <w:bCs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bCs w:val="1"/>
                <w:color w:val="2e74b5"/>
              </w:rPr>
            </w:pPr>
            <w:r w:rsidDel="00000000" w:rsidR="00000000" w:rsidRPr="00000000">
              <w:rPr>
                <w:b w:val="1"/>
                <w:bCs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bCs w:val="1"/>
                <w:color w:val="2e74b5"/>
              </w:rPr>
            </w:pPr>
            <w:r w:rsidDel="00000000" w:rsidR="00000000" w:rsidRPr="00000000">
              <w:rPr>
                <w:b w:val="1"/>
                <w:bCs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Comienzo del Sprint 4</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Historias de usuario que estarán en el Sprint 4</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bCs w:val="1"/>
          <w:smallCaps w:val="1"/>
          <w:color w:val="2e74b5"/>
        </w:rPr>
      </w:pPr>
      <w:r w:rsidDel="00000000" w:rsidR="00000000" w:rsidRPr="00000000">
        <w:rPr>
          <w:b w:val="1"/>
          <w:bCs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sz w:val="22"/>
                <w:szCs w:val="22"/>
                <w:rtl w:val="0"/>
              </w:rPr>
              <w:t xml:space="preserve">Con el inicio del </w:t>
            </w:r>
            <w:r w:rsidDel="00000000" w:rsidR="00000000" w:rsidRPr="00000000">
              <w:rPr>
                <w:b w:val="1"/>
                <w:bCs w:val="1"/>
                <w:sz w:val="22"/>
                <w:szCs w:val="22"/>
                <w:rtl w:val="0"/>
              </w:rPr>
              <w:t xml:space="preserve">Sprint 4</w:t>
            </w:r>
            <w:r w:rsidDel="00000000" w:rsidR="00000000" w:rsidRPr="00000000">
              <w:rPr>
                <w:sz w:val="22"/>
                <w:szCs w:val="22"/>
                <w:rtl w:val="0"/>
              </w:rPr>
              <w:t xml:space="preserve">, el equipo revisó la planificación general de la iteración y definió los lineamientos para avanzar en dos historias de alta prioridad, orientadas a la escalabilidad del sistema y a la coherencia estructural de la base de datos. Este sprint se caracterizará por su enfoque técnico, ya que contempla tanto el despliegue en infraestructura cloud como la reorganización interna de los datos provenientes de múltiples dispositivos.</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sz w:val="22"/>
                <w:szCs w:val="22"/>
                <w:rtl w:val="0"/>
              </w:rPr>
              <w:t xml:space="preserve">Las historias seleccionadas fueron:</w:t>
            </w:r>
          </w:p>
          <w:p w:rsidR="00000000" w:rsidDel="00000000" w:rsidP="00000000" w:rsidRDefault="00000000" w:rsidRPr="00000000" w14:paraId="00000035">
            <w:pPr>
              <w:widowControl w:val="0"/>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Despliegue EcoPulse en Cloud Run</w:t>
            </w:r>
            <w:r w:rsidDel="00000000" w:rsidR="00000000" w:rsidRPr="00000000">
              <w:rPr>
                <w:sz w:val="22"/>
                <w:szCs w:val="22"/>
                <w:rtl w:val="0"/>
              </w:rPr>
              <w:t xml:space="preserve">, que establece la necesidad de ejecutar la plataforma mediante un contenedor Docker optimizado, permitiendo un entorno seguro, escalable y sin mantenimiento de servidores, con integración mediante GitHub Actions.</w:t>
              <w:br w:type="textWrapping"/>
            </w:r>
          </w:p>
          <w:p w:rsidR="00000000" w:rsidDel="00000000" w:rsidP="00000000" w:rsidRDefault="00000000" w:rsidRPr="00000000" w14:paraId="00000036">
            <w:pPr>
              <w:widowControl w:val="0"/>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Estructura BD por dispositivo</w:t>
            </w:r>
            <w:r w:rsidDel="00000000" w:rsidR="00000000" w:rsidRPr="00000000">
              <w:rPr>
                <w:sz w:val="22"/>
                <w:szCs w:val="22"/>
                <w:rtl w:val="0"/>
              </w:rPr>
              <w:t xml:space="preserve">, enfocada en reorganizar la base de datos para distinguir y consultar correctamente la información de diferentes fuentes de medición, asegurando orden y consistencia para futuros análisis comparativos y visualizaciones avanzadas.</w:t>
              <w:br w:type="textWrapping"/>
            </w:r>
          </w:p>
          <w:p w:rsidR="00000000" w:rsidDel="00000000" w:rsidP="00000000" w:rsidRDefault="00000000" w:rsidRPr="00000000" w14:paraId="00000037">
            <w:pPr>
              <w:widowControl w:val="0"/>
              <w:spacing w:after="240" w:before="240" w:lineRule="auto"/>
              <w:jc w:val="both"/>
              <w:rPr>
                <w:sz w:val="22"/>
                <w:szCs w:val="22"/>
              </w:rPr>
            </w:pPr>
            <w:r w:rsidDel="00000000" w:rsidR="00000000" w:rsidRPr="00000000">
              <w:rPr>
                <w:sz w:val="22"/>
                <w:szCs w:val="22"/>
                <w:rtl w:val="0"/>
              </w:rPr>
              <w:t xml:space="preserve">En cuanto a la distribución de tareas, </w:t>
            </w:r>
            <w:r w:rsidDel="00000000" w:rsidR="00000000" w:rsidRPr="00000000">
              <w:rPr>
                <w:b w:val="1"/>
                <w:bCs w:val="1"/>
                <w:sz w:val="22"/>
                <w:szCs w:val="22"/>
                <w:rtl w:val="0"/>
              </w:rPr>
              <w:t xml:space="preserve">Diego</w:t>
            </w:r>
            <w:r w:rsidDel="00000000" w:rsidR="00000000" w:rsidRPr="00000000">
              <w:rPr>
                <w:sz w:val="22"/>
                <w:szCs w:val="22"/>
                <w:rtl w:val="0"/>
              </w:rPr>
              <w:t xml:space="preserve"> asumirá el desarrollo completo del despliegue en Cloud Run, incluyendo contenedorización, configuración de GitHub Actions y validaciones en la nube. </w:t>
            </w:r>
            <w:r w:rsidDel="00000000" w:rsidR="00000000" w:rsidRPr="00000000">
              <w:rPr>
                <w:b w:val="1"/>
                <w:bCs w:val="1"/>
                <w:sz w:val="22"/>
                <w:szCs w:val="22"/>
                <w:rtl w:val="0"/>
              </w:rPr>
              <w:t xml:space="preserve">Cristóbal</w:t>
            </w:r>
            <w:r w:rsidDel="00000000" w:rsidR="00000000" w:rsidRPr="00000000">
              <w:rPr>
                <w:sz w:val="22"/>
                <w:szCs w:val="22"/>
                <w:rtl w:val="0"/>
              </w:rPr>
              <w:t xml:space="preserve">, por su parte, trabajará en el rediseño y ajuste de la base de datos para soportar múltiples dispositivos de medición de manera independiente y ordenada. Mientras tanto, </w:t>
            </w:r>
            <w:r w:rsidDel="00000000" w:rsidR="00000000" w:rsidRPr="00000000">
              <w:rPr>
                <w:b w:val="1"/>
                <w:bCs w:val="1"/>
                <w:sz w:val="22"/>
                <w:szCs w:val="22"/>
                <w:rtl w:val="0"/>
              </w:rPr>
              <w:t xml:space="preserve">Benjamín</w:t>
            </w:r>
            <w:r w:rsidDel="00000000" w:rsidR="00000000" w:rsidRPr="00000000">
              <w:rPr>
                <w:sz w:val="22"/>
                <w:szCs w:val="22"/>
                <w:rtl w:val="0"/>
              </w:rPr>
              <w:t xml:space="preserve"> será responsable de toda la documentación del Sprint 4 —incluyendo Backlog, Burndown Chart, Daily Meetings, Review, Retrospectiva e Informe Final— y brindará apoyo a Cristóbal en pruebas, validaciones y cualquier ajuste que requiera durante la creación de la estructura de datos.</w:t>
            </w:r>
          </w:p>
          <w:p w:rsidR="00000000" w:rsidDel="00000000" w:rsidP="00000000" w:rsidRDefault="00000000" w:rsidRPr="00000000" w14:paraId="00000038">
            <w:pPr>
              <w:widowControl w:val="0"/>
              <w:spacing w:after="240" w:before="240" w:lineRule="auto"/>
              <w:jc w:val="both"/>
              <w:rPr>
                <w:b w:val="1"/>
                <w:bCs w:val="1"/>
                <w:sz w:val="22"/>
                <w:szCs w:val="22"/>
              </w:rPr>
            </w:pPr>
            <w:r w:rsidDel="00000000" w:rsidR="00000000" w:rsidRPr="00000000">
              <w:rPr>
                <w:sz w:val="22"/>
                <w:szCs w:val="22"/>
                <w:rtl w:val="0"/>
              </w:rPr>
              <w:t xml:space="preserve">El equipo acordó mantener comunicación constante, documentar cada avance y revisar diariamente el progreso de las tareas, con el fin de asegurar estabilidad, coherencia entre módulos y cumplimiento de los objetivos del sprint.</w:t>
            </w:r>
            <w:r w:rsidDel="00000000" w:rsidR="00000000" w:rsidRPr="00000000">
              <w:rPr>
                <w:rtl w:val="0"/>
              </w:rPr>
            </w:r>
          </w:p>
        </w:tc>
      </w:tr>
    </w:tbl>
    <w:p w:rsidR="00000000" w:rsidDel="00000000" w:rsidP="00000000" w:rsidRDefault="00000000" w:rsidRPr="00000000" w14:paraId="00000039">
      <w:pPr>
        <w:ind w:firstLine="708"/>
        <w:jc w:val="both"/>
        <w:rPr>
          <w:color w:val="000000"/>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-499089</wp:posOffset>
          </wp:positionV>
          <wp:extent cx="2209800" cy="367030"/>
          <wp:effectExtent b="0" l="0" r="0" t="0"/>
          <wp:wrapSquare wrapText="bothSides" distB="0" distT="0" distL="114300" distR="114300"/>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iCs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5CSluotKl8vgmVkrz93ikl+BA==">CgMxLjA4AHIhMVcwdHc1aUtndWE2S0dyR1RSNXMyTm9ZbUlHUDh0b01u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