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002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Acuerdos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4"/>
                <w:szCs w:val="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del avance de las tareas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Continuó con la configuración del repositorio y realizó ajustes en la base de datos PostgreSQL, añadiendo tablas y relaciones básicas.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Terminó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configuración del entorno virtual y dependencias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asegurando compatibilidad entre los componentes. Inició además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creación del documento de riesgos iniciales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el apoyo de Benjamín..</w:t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Avanzó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documentación técnica inicial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registrando las decisiones de arquitectura y las herramientas utilizadas. También apoyó la definición del pipeline de datos, estructurando el flujo entre Pub/Sub y DataFlow para la siguiente jornada.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-499104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nuSTWkhBfYzxn0Al7Jazg0qXA==">CgMxLjA4AHIhMXNXbFV5VVJ6cUJhVzRSRmhfempWekdvX3FPVDYtV2hy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