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 de Septiembre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003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Retomó el diseño de la base ajustando entidades y relaciones propuestas en Lucidchart y comenzó a preparar el esquema inicial en PostgreSQL a través de pgAdmin. Avanzó en criterios de normalización y dejó pendiente la validación final de llaves y restricciones para completar el primer script de creación.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Continuó con la estructura del frontend, añadiendo estilos básicos (colores de fondo y jerarquía de títulos) y primeras reglas de responsividad para el navbar. Validó la navegación entre páginas y dejó preparado el terreno para integrar componentes visuales en la siguiente iteración.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Extendió el trabajo del día anterior afinando la priorización en el Product y Sprint Backlog y organizando la documentación relacionada. Profundizó en la investigación del Burndown Chart, definiendo el formato a utilizar y los datos mínimos necesarios para su confección en la próxima etapa.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-499100</wp:posOffset>
          </wp:positionV>
          <wp:extent cx="2209800" cy="367030"/>
          <wp:effectExtent b="0" l="0" r="0" t="0"/>
          <wp:wrapSquare wrapText="bothSides" distB="0" distT="0" distL="114300" distR="114300"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FDorfC5p4aE7MOqzLbIGMnwgQ==">CgMxLjA4AHIhMXA2c0ZiMU1KVWlFaUFCTjBxdUVfR2djdWtfaTkyWFJR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