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 de Septiembre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005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Comentó que realizó pruebas con el backup SQL y validó que la base funcionara correctamente. Aprovechó también para investigar mejores prácticas sobre despliegue y respaldo de bases de datos, preparando el camino para los datasets de prueba.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Explicó que continuó afinando el diseño visual, reforzando la responsividad, y avanzó en la investigación sobre la conexión de la base de datos con la interfaz. Añadió que definió qué librerías podrían ser útiles y qué endpoints sería necesario construir para esta integración.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que avanzó en la Matriz de Riesgos, la cual dejó prácticamente finalizada. Mencionó que también investigó diferentes formatos para estructurar las minutas de los Daily Meetings y adaptarlas al proyecto.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-499099</wp:posOffset>
          </wp:positionV>
          <wp:extent cx="2209800" cy="367030"/>
          <wp:effectExtent b="0" l="0" r="0" t="0"/>
          <wp:wrapSquare wrapText="bothSides" distB="0" distT="0" distL="114300" distR="114300"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l7rDyIer3j7ATN8X0EYl0RvL/w==">CgMxLjA4AHIhMU5JSHk3VlJPN0hXa0h3Y3hXWDc5UlpzRUx6d3Jrc3o5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