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0000"/>
          <w:sz w:val="32"/>
          <w:szCs w:val="32"/>
        </w:rPr>
      </w:pPr>
      <w:r w:rsidDel="00000000" w:rsidR="00000000" w:rsidRPr="00000000">
        <w:rPr>
          <w:b w:val="1"/>
          <w:color w:val="000000"/>
          <w:sz w:val="32"/>
          <w:szCs w:val="32"/>
          <w:rtl w:val="0"/>
        </w:rPr>
        <w:t xml:space="preserve">ACTA DE </w:t>
      </w:r>
      <w:r w:rsidDel="00000000" w:rsidR="00000000" w:rsidRPr="00000000">
        <w:rPr>
          <w:b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color w:val="2e74b5"/>
              </w:rPr>
            </w:pPr>
            <w:r w:rsidDel="00000000" w:rsidR="00000000" w:rsidRPr="00000000">
              <w:rPr>
                <w:b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07 de Octubre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color w:val="2e74b5"/>
              </w:rPr>
            </w:pPr>
            <w:r w:rsidDel="00000000" w:rsidR="00000000" w:rsidRPr="00000000">
              <w:rPr>
                <w:b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color w:val="2e74b5"/>
              </w:rPr>
            </w:pPr>
            <w:r w:rsidDel="00000000" w:rsidR="00000000" w:rsidRPr="00000000">
              <w:rPr>
                <w:b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color w:val="2e74b5"/>
              </w:rPr>
            </w:pPr>
            <w:r w:rsidDel="00000000" w:rsidR="00000000" w:rsidRPr="00000000">
              <w:rPr>
                <w:b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color w:val="2e74b5"/>
              </w:rPr>
            </w:pPr>
            <w:r w:rsidDel="00000000" w:rsidR="00000000" w:rsidRPr="00000000">
              <w:rPr>
                <w:b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color w:val="2e74b5"/>
              </w:rPr>
            </w:pPr>
            <w:r w:rsidDel="00000000" w:rsidR="00000000" w:rsidRPr="00000000">
              <w:rPr>
                <w:b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color w:val="2e74b5"/>
              </w:rPr>
            </w:pPr>
            <w:r w:rsidDel="00000000" w:rsidR="00000000" w:rsidRPr="00000000">
              <w:rPr>
                <w:b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rPr>
            </w:pPr>
            <w:r w:rsidDel="00000000" w:rsidR="00000000" w:rsidRPr="00000000">
              <w:rPr>
                <w:b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color w:val="2e74b5"/>
              </w:rPr>
            </w:pPr>
            <w:r w:rsidDel="00000000" w:rsidR="00000000" w:rsidRPr="00000000">
              <w:rPr>
                <w:b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013</w:t>
            </w:r>
          </w:p>
        </w:tc>
      </w:tr>
    </w:tbl>
    <w:p w:rsidR="00000000" w:rsidDel="00000000" w:rsidP="00000000" w:rsidRDefault="00000000" w:rsidRPr="00000000" w14:paraId="00000017">
      <w:pPr>
        <w:jc w:val="center"/>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color w:val="2e74b5"/>
              </w:rPr>
            </w:pPr>
            <w:r w:rsidDel="00000000" w:rsidR="00000000" w:rsidRPr="00000000">
              <w:rPr>
                <w:b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color w:val="2e74b5"/>
              </w:rPr>
            </w:pPr>
            <w:r w:rsidDel="00000000" w:rsidR="00000000" w:rsidRPr="00000000">
              <w:rPr>
                <w:b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color w:val="2e74b5"/>
        </w:rPr>
      </w:pPr>
      <w:r w:rsidDel="00000000" w:rsidR="00000000" w:rsidRPr="00000000">
        <w:rPr>
          <w:b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color w:val="2e74b5"/>
              </w:rPr>
            </w:pPr>
            <w:r w:rsidDel="00000000" w:rsidR="00000000" w:rsidRPr="00000000">
              <w:rPr>
                <w:b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color w:val="2e74b5"/>
              </w:rPr>
            </w:pPr>
            <w:r w:rsidDel="00000000" w:rsidR="00000000" w:rsidRPr="00000000">
              <w:rPr>
                <w:b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Estado de Avance de las tareas</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Tareas que se continuarán realizando</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planean realizar al terminar las actuales</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smallCaps w:val="1"/>
          <w:color w:val="2e74b5"/>
        </w:rPr>
      </w:pPr>
      <w:r w:rsidDel="00000000" w:rsidR="00000000" w:rsidRPr="00000000">
        <w:rPr>
          <w:b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ind w:left="360" w:firstLine="0"/>
              <w:jc w:val="both"/>
              <w:rPr>
                <w:sz w:val="22"/>
                <w:szCs w:val="22"/>
              </w:rPr>
            </w:pPr>
            <w:r w:rsidDel="00000000" w:rsidR="00000000" w:rsidRPr="00000000">
              <w:rPr>
                <w:b w:val="1"/>
                <w:sz w:val="22"/>
                <w:szCs w:val="22"/>
                <w:rtl w:val="0"/>
              </w:rPr>
              <w:t xml:space="preserve">Diego Herrera:</w:t>
            </w:r>
            <w:r w:rsidDel="00000000" w:rsidR="00000000" w:rsidRPr="00000000">
              <w:rPr>
                <w:sz w:val="22"/>
                <w:szCs w:val="22"/>
                <w:rtl w:val="0"/>
              </w:rPr>
              <w:t xml:space="preserve"> Implementé el filtro de fechas para el dashboard, apliqué algunos estilos adicionales y actualicé la información que despliega el pie chart. Además, creé la tabla “Diccionario de datos” en la base de datos y habilité su visualización en el frontend para que el usuario pueda informarse. Como siguiente paso, desarrollaré un botón que exporte los datos —de una fecha específica o el total— en formato CSV.</w:t>
            </w:r>
            <w:r w:rsidDel="00000000" w:rsidR="00000000" w:rsidRPr="00000000">
              <w:rPr>
                <w:rtl w:val="0"/>
              </w:rPr>
            </w:r>
          </w:p>
          <w:p w:rsidR="00000000" w:rsidDel="00000000" w:rsidP="00000000" w:rsidRDefault="00000000" w:rsidRPr="00000000" w14:paraId="00000034">
            <w:pPr>
              <w:widowControl w:val="0"/>
              <w:ind w:left="360" w:firstLine="0"/>
              <w:jc w:val="both"/>
              <w:rPr>
                <w:sz w:val="22"/>
                <w:szCs w:val="22"/>
              </w:rPr>
            </w:pPr>
            <w:r w:rsidDel="00000000" w:rsidR="00000000" w:rsidRPr="00000000">
              <w:rPr>
                <w:b w:val="1"/>
                <w:sz w:val="22"/>
                <w:szCs w:val="22"/>
                <w:rtl w:val="0"/>
              </w:rPr>
              <w:t xml:space="preserve">Cristóbal Álvarez:</w:t>
            </w:r>
            <w:r w:rsidDel="00000000" w:rsidR="00000000" w:rsidRPr="00000000">
              <w:rPr>
                <w:sz w:val="22"/>
                <w:szCs w:val="22"/>
                <w:rtl w:val="0"/>
              </w:rPr>
              <w:t xml:space="preserve"> Realicé la limpieza del dataset de muestra y entrené el modelo de clustering. Aún falta rellenar los valores de las tablas que alimentan la base de datos. Como siguiente paso, configuraré los servicios de Pub/Sub y Dataflow para la base de producción.</w:t>
            </w:r>
          </w:p>
          <w:p w:rsidR="00000000" w:rsidDel="00000000" w:rsidP="00000000" w:rsidRDefault="00000000" w:rsidRPr="00000000" w14:paraId="00000035">
            <w:pPr>
              <w:widowControl w:val="0"/>
              <w:ind w:left="360" w:firstLine="0"/>
              <w:jc w:val="both"/>
              <w:rPr>
                <w:sz w:val="22"/>
                <w:szCs w:val="22"/>
              </w:rPr>
            </w:pPr>
            <w:r w:rsidDel="00000000" w:rsidR="00000000" w:rsidRPr="00000000">
              <w:rPr>
                <w:b w:val="1"/>
                <w:sz w:val="22"/>
                <w:szCs w:val="22"/>
                <w:rtl w:val="0"/>
              </w:rPr>
              <w:t xml:space="preserve">Benjamín Cerón:</w:t>
            </w:r>
            <w:r w:rsidDel="00000000" w:rsidR="00000000" w:rsidRPr="00000000">
              <w:rPr>
                <w:sz w:val="22"/>
                <w:szCs w:val="22"/>
                <w:rtl w:val="0"/>
              </w:rPr>
              <w:t xml:space="preserve"> Estuve actualizando el Burndown Chart registrando, por día, las horas trabajadas y asignándolo a la historia de usuario correspondiente. En paralelo, reflejé esas mismas horas en el Sprint Backlog, distribuyéndolas por cada tarea específica para identificar con claridad qué se avanzó en cada jornada. Además, se corrigió un error en el Sprint Backlog: las horas de la historia 19 superaban las registradas en el Burndown Chart, por lo que se ajustaron en el Sprint Backlog para que ambas fuentes fueran coherentes y mantuvieran el mismo valor.</w:t>
            </w:r>
          </w:p>
        </w:tc>
      </w:tr>
    </w:tbl>
    <w:p w:rsidR="00000000" w:rsidDel="00000000" w:rsidP="00000000" w:rsidRDefault="00000000" w:rsidRPr="00000000" w14:paraId="00000036">
      <w:pPr>
        <w:ind w:firstLine="708"/>
        <w:jc w:val="both"/>
        <w:rPr>
          <w:color w:val="000000"/>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-499099</wp:posOffset>
          </wp:positionV>
          <wp:extent cx="2209800" cy="367030"/>
          <wp:effectExtent b="0" l="0" r="0" t="0"/>
          <wp:wrapSquare wrapText="bothSides" distB="0" distT="0" distL="114300" distR="114300"/>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i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I1A+D7k+mXfhpaGuwuA9FhMYw==">CgMxLjA4AHIhMVF1TkJtZ2FjdjFPNXI1MDJ5UHgzQjAtc1d5ZWVKZDJF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