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08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014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Estuve creando los reportes históricos en formato CSV, con la idea de dejarlos luego disponibles también en PDF; hoy seguiré en la misma línea y, a continuación, haré una ligera modificación de los gráficos para mejorar su presentación.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Avancé en la configuración de Pub/Sub, ajusté el script para publicar datos desde Pub/Sub hacia la base y preparé la configuración de Dataflow para transformar e insertar la información con el formato correcto. A continuación, rellenaré las tablas tipo (tipos de alertas, alertas, tipo de usuario, tipo de reporte, etc.) y dejaré habilitado que los gráficos persistan en la base de datos.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Continué completando el Sprint Backlog y el Burndown Chart, cuadrando las horas entre ambos, y seguí generando las minutas de las daily meetings. Para hoy, apoyaré el llenado de tablas del modelo, revisaré los modals junto a Cristóbal y avanzaré en la Historia de Usuario 16, además de continuar con el informe de la Fase 2 (sección 2.4).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-499098</wp:posOffset>
          </wp:positionV>
          <wp:extent cx="2209800" cy="367030"/>
          <wp:effectExtent b="0" l="0" r="0" t="0"/>
          <wp:wrapSquare wrapText="bothSides" distB="0" distT="0" distL="114300" distR="114300"/>
          <wp:docPr id="1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92XsfqSztGvi9r/9AGqDN1IXXg==">CgMxLjA4AHIhMVJvR0lnMUhXUWtfMGFEMDhoa213UVVHeVkxWWtvVTVv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