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PROTOCOLO DE PRUEBAS RIGUROSAS EN CAMPO Y LABORATORIO (V7)</w:t>
      </w:r>
    </w:p>
    <w:p>
      <w:r>
        <w:t>Este protocolo establece la lista de verificación (Checklist) obligatoria que el equipo técnico debe firmar antes de liberar una unidad a servicio público en vía.</w:t>
      </w:r>
    </w:p>
    <w:p>
      <w:r>
        <w:t>---</w:t>
      </w:r>
    </w:p>
    <w:p>
      <w:pPr>
        <w:pStyle w:val="Heading2"/>
      </w:pPr>
      <w:r>
        <w:t>📋 Checklist de Pruebas Obligatorias (Fase 4)</w:t>
      </w:r>
    </w:p>
    <w:p>
      <w:pPr>
        <w:pStyle w:val="Heading3"/>
      </w:pPr>
      <w:r>
        <w:t>PRUEBA 1: Secuencia de Luces Legal Colombia (OPT-6)</w:t>
      </w:r>
    </w:p>
    <w:p>
      <w:pPr>
        <w:pStyle w:val="ListBullet"/>
      </w:pPr>
      <w:r>
        <w:t>[ ] En Modo Manual, cambiar de Rojo a Verde. Confirmar que el cambio es directo (0s de aviso Rojo+Amarillo).</w:t>
      </w:r>
    </w:p>
    <w:p>
      <w:pPr>
        <w:pStyle w:val="ListBullet"/>
      </w:pPr>
      <w:r>
        <w:t>[ ] Cambiar de Verde a Rojo. Confirmar que la luz Amarilla dura exactamente 4.0 segundos.</w:t>
      </w:r>
    </w:p>
    <w:p>
      <w:pPr>
        <w:pStyle w:val="ListBullet"/>
      </w:pPr>
      <w:r>
        <w:t>[ ] Confirmar que en ningún momento se encienden Verde y Rojo simultáneamente.</w:t>
      </w:r>
    </w:p>
    <w:p>
      <w:pPr>
        <w:pStyle w:val="Heading3"/>
      </w:pPr>
      <w:r>
        <w:t>PRUEBA 2: Prueba de Caída de Señal de Radio (Fail-Safe)</w:t>
      </w:r>
    </w:p>
    <w:p>
      <w:pPr>
        <w:pStyle w:val="ListBullet"/>
      </w:pPr>
      <w:r>
        <w:t>[ ] En pleno ciclo de operación, desconectar la fuente de alimentación o la antena de una de las radios.</w:t>
      </w:r>
    </w:p>
    <w:p>
      <w:pPr>
        <w:pStyle w:val="ListBullet"/>
      </w:pPr>
      <w:r>
        <w:t>[ ] Confirmar que al cabo de exactamente **3.0 segundos**, la tarjeta pasa a estado `C_FALLO` (parpadeo de advertencia).</w:t>
      </w:r>
    </w:p>
    <w:p>
      <w:pPr>
        <w:pStyle w:val="ListBullet"/>
      </w:pPr>
      <w:r>
        <w:t>[ ] Reconectar la antena. Confirmar que la tarjeta entra a **Rojo Fijo de Despeje (All-Red)** durante el tiempo parametrizado antes de reactivar la luz verde.</w:t>
      </w:r>
    </w:p>
    <w:p>
      <w:pPr>
        <w:pStyle w:val="Heading3"/>
      </w:pPr>
      <w:r>
        <w:t>PRUEBA 3: Prueba de Alcance y Terreno (300m a 500m)</w:t>
      </w:r>
    </w:p>
    <w:p>
      <w:pPr>
        <w:pStyle w:val="ListBullet"/>
      </w:pPr>
      <w:r>
        <w:t>[ ] Ubicar el Maestro y Esclavo a una distancia mínima de 300 metros sin línea de vista directa.</w:t>
      </w:r>
    </w:p>
    <w:p>
      <w:pPr>
        <w:pStyle w:val="ListBullet"/>
      </w:pPr>
      <w:r>
        <w:t>[ ] Verificar que la potencia esté configurada a `30 dBm (1W)` y el Air Data Rate a `0.3 kbps` en `RF_Setting4.6.exe`.</w:t>
      </w:r>
    </w:p>
    <w:p>
      <w:pPr>
        <w:pStyle w:val="ListBullet"/>
      </w:pPr>
      <w:r>
        <w:t>[ ] Confirmar que el intercambio de paquetes `0x04 (PING)` y `0x05 (PONG)` ocurre sin caídas durante al menos 30 minutos continuos.</w:t>
      </w:r>
    </w:p>
    <w:p>
      <w:pPr>
        <w:pStyle w:val="Heading3"/>
      </w:pPr>
      <w:r>
        <w:t>PRUEBA 4: Pruebas del Repetidor ESP32 (Modo 4 Radios)</w:t>
      </w:r>
    </w:p>
    <w:p>
      <w:pPr>
        <w:pStyle w:val="ListBullet"/>
      </w:pPr>
      <w:r>
        <w:t>[ ] En caso de usar el puente repetidor ESP32, verificar que el firmware `01_Firmware/Repetidor` ejecute el passthrough asíncrono sub-milisegundo.</w:t>
      </w:r>
    </w:p>
    <w:p>
      <w:pPr>
        <w:pStyle w:val="ListBullet"/>
      </w:pPr>
      <w:r>
        <w:t>[ ] Verificar que los LEDs `TXD`/`RXD` de las dos radios intermedias parpadeen alternadamente en cada latido PING/PONG.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