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8a23e5df0df2ab746410a7d8700cbd4fbe6e2f"/>
    <w:p>
      <w:pPr>
        <w:pStyle w:val="Heading1"/>
      </w:pPr>
      <w:r>
        <w:t xml:space="preserve">🚦 Manual de Operación y Comportamiento del Sistema</w:t>
      </w:r>
    </w:p>
    <w:p>
      <w:pPr>
        <w:pStyle w:val="FirstParagraph"/>
      </w:pPr>
      <w:r>
        <w:t xml:space="preserve">Este manual define el</w:t>
      </w:r>
      <w:r>
        <w:t xml:space="preserve"> </w:t>
      </w:r>
      <w:r>
        <w:rPr>
          <w:b/>
          <w:bCs/>
        </w:rPr>
        <w:t xml:space="preserve">“Ground Truth”</w:t>
      </w:r>
      <w:r>
        <w:t xml:space="preserve"> </w:t>
      </w:r>
      <w:r>
        <w:t xml:space="preserve">(la verdad absoluta) de cómo DEBE comportarse el sistema, sirviendo como base para validar que las simulaciones y el código cumplan con la especificación.</w:t>
      </w:r>
      <w:r>
        <w:t xml:space="preserve"> </w:t>
      </w:r>
      <w:r>
        <w:t xml:space="preserve">Todas las operaciones están alineadas al</w:t>
      </w:r>
      <w:r>
        <w:t xml:space="preserve"> </w:t>
      </w:r>
      <w:r>
        <w:rPr>
          <w:b/>
          <w:bCs/>
        </w:rPr>
        <w:t xml:space="preserve">Manual de Señalización Vial de Colombia (Resolución 2024 - MinTransporte)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c536f664f34547e4ad698d3493b496f32e83076"/>
    <w:p>
      <w:pPr>
        <w:pStyle w:val="Heading2"/>
      </w:pPr>
      <w:r>
        <w:t xml:space="preserve">1. Comportamiento Físico de las Luces (Secuencia Normativa Colombia)</w:t>
      </w:r>
    </w:p>
    <w:p>
      <w:pPr>
        <w:pStyle w:val="FirstParagraph"/>
      </w:pPr>
      <w:r>
        <w:t xml:space="preserve">Para evitar arranques prematuros y dar tiempo de frenado, la secuencia lumínica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operar de la siguiente manera: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ROJO FIJO:</w:t>
      </w:r>
      <w:r>
        <w:t xml:space="preserve"> </w:t>
      </w:r>
      <w:r>
        <w:t xml:space="preserve">Vía cerrada.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VERDE FIJO:</w:t>
      </w:r>
      <w:r>
        <w:t xml:space="preserve"> </w:t>
      </w:r>
      <w:r>
        <w:t xml:space="preserve">(Transición directa desde el rojo, 0 segundos de aviso). Vía libre.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AMARILLO FIJO:</w:t>
      </w:r>
      <w:r>
        <w:t xml:space="preserve"> </w:t>
      </w:r>
      <w:r>
        <w:t xml:space="preserve">(Duración estricta de 4 segundos). Aviso de frenado.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ROJO FIJO:</w:t>
      </w:r>
      <w:r>
        <w:t xml:space="preserve"> </w:t>
      </w:r>
      <w:r>
        <w:t xml:space="preserve">Vía cerrada.</w:t>
      </w:r>
    </w:p>
    <w:bookmarkStart w:id="9" w:name="tiempos-de-despeje-all-red-rojo-estático"/>
    <w:p>
      <w:pPr>
        <w:pStyle w:val="Heading3"/>
      </w:pPr>
      <w:r>
        <w:t xml:space="preserve">Tiempos de Despeje (All-Red / Rojo Estático)</w:t>
      </w:r>
    </w:p>
    <w:p>
      <w:pPr>
        <w:pStyle w:val="FirstParagraph"/>
      </w:pPr>
      <w:r>
        <w:t xml:space="preserve">Cuando se solicita el cambio de vía, el sistema debe entrar en un estado de</w:t>
      </w:r>
      <w:r>
        <w:t xml:space="preserve"> </w:t>
      </w:r>
      <w:r>
        <w:rPr>
          <w:b/>
          <w:bCs/>
        </w:rPr>
        <w:t xml:space="preserve">ROJO ABSOLUTO</w:t>
      </w:r>
      <w:r>
        <w:t xml:space="preserve">.</w:t>
      </w:r>
      <w:r>
        <w:t xml:space="preserve"> </w:t>
      </w:r>
      <w:r>
        <w:t xml:space="preserve">- Durante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segundos,</w:t>
      </w:r>
      <w:r>
        <w:t xml:space="preserve"> </w:t>
      </w:r>
      <w:r>
        <w:rPr>
          <w:b/>
          <w:bCs/>
        </w:rPr>
        <w:t xml:space="preserve">ambos semáforos estarán en ROJO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Variabilidad de Terreno:</w:t>
      </w:r>
      <w:r>
        <w:t xml:space="preserve"> </w:t>
      </w:r>
      <w:r>
        <w:t xml:space="preserve">Como la obra puede abarcar de 20m a 500m (con radios que alcanzan hasta 6km en línea vista), el tiempo de despeje no puede estar limitado a un valor bajo. A 10 km/h, una maquinaria pesada tardaría casi</w:t>
      </w:r>
      <w:r>
        <w:t xml:space="preserve"> </w:t>
      </w:r>
      <w:r>
        <w:rPr>
          <w:b/>
          <w:bCs/>
        </w:rPr>
        <w:t xml:space="preserve">3 minutos (180 segundos)</w:t>
      </w:r>
      <w:r>
        <w:t xml:space="preserve"> </w:t>
      </w:r>
      <w:r>
        <w:t xml:space="preserve">en cruzar 500 metros.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Configuración:</w:t>
      </w:r>
      <w:r>
        <w:t xml:space="preserve"> </w:t>
      </w:r>
      <w:r>
        <w:t xml:space="preserve">La interfaz del menú LCD (tanto en Automático como en Manual) DEBE permitir configurar tiempos de despeje de 0 a 999 segundos (en lugar del límite antiguo de 99s) para dar cobertura total a puentes largos o túneles de 500m.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70622283fa67eaa2231937feda7c76906fc9821"/>
    <w:p>
      <w:pPr>
        <w:pStyle w:val="Heading2"/>
      </w:pPr>
      <w:r>
        <w:t xml:space="preserve">2. Comportamiento en Destello / Intermitente (Bajo Flujo)</w:t>
      </w:r>
    </w:p>
    <w:p>
      <w:pPr>
        <w:pStyle w:val="FirstParagraph"/>
      </w:pPr>
      <w:r>
        <w:t xml:space="preserve">Según el Manual de Señalización (2024), si el flujo vehicular baja al 50% o menos durante 4 horas o más (usualmente operación nocturna), el sistema debe pasar a operación intermitente.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Funcionamiento:</w:t>
      </w:r>
      <w:r>
        <w:t xml:space="preserve"> </w:t>
      </w:r>
      <w:r>
        <w:t xml:space="preserve">Un semáforo parpadea en 🟡</w:t>
      </w:r>
      <w:r>
        <w:t xml:space="preserve"> </w:t>
      </w:r>
      <w:r>
        <w:rPr>
          <w:b/>
          <w:bCs/>
        </w:rPr>
        <w:t xml:space="preserve">Ámbar</w:t>
      </w:r>
      <w:r>
        <w:t xml:space="preserve"> </w:t>
      </w:r>
      <w:r>
        <w:t xml:space="preserve">(Precaución - vía principal) y el otro en 🔴</w:t>
      </w:r>
      <w:r>
        <w:t xml:space="preserve"> </w:t>
      </w:r>
      <w:r>
        <w:rPr>
          <w:b/>
          <w:bCs/>
        </w:rPr>
        <w:t xml:space="preserve">Rojo</w:t>
      </w:r>
      <w:r>
        <w:t xml:space="preserve"> </w:t>
      </w:r>
      <w:r>
        <w:t xml:space="preserve">(Pare - vía secundaria), o ambos en Rojo Intermitente para pasos de igual jerarquía como túneles de obra.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Implementación Futura:</w:t>
      </w:r>
      <w:r>
        <w:t xml:space="preserve"> </w:t>
      </w:r>
      <w:r>
        <w:t xml:space="preserve">Se requiere agregar al menú LCD la opción</w:t>
      </w:r>
      <w:r>
        <w:t xml:space="preserve"> </w:t>
      </w:r>
      <w:r>
        <w:t xml:space="preserve">“MODO NOCTURNO/DESTELLO”</w:t>
      </w:r>
      <w:r>
        <w:t xml:space="preserve"> </w:t>
      </w:r>
      <w:r>
        <w:t xml:space="preserve">o activarlo automáticamente usando un reloj RTC (OPT-7).</w:t>
      </w:r>
    </w:p>
    <w:bookmarkEnd w:id="11"/>
    <w:bookmarkStart w:id="13" w:name="comportamiento-de-la-interfaz-y-menú-lcd"/>
    <w:p>
      <w:pPr>
        <w:pStyle w:val="Heading2"/>
      </w:pPr>
      <w:r>
        <w:t xml:space="preserve">3. Comportamiento de la Interfaz y Menú (LCD)</w:t>
      </w:r>
    </w:p>
    <w:p>
      <w:pPr>
        <w:pStyle w:val="FirstParagraph"/>
      </w:pPr>
      <w:r>
        <w:t xml:space="preserve">El acceso a la pantalla LCD y los botones de configuración es crítico para los operarios.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Regla de Oro (Independencia de Red):</w:t>
      </w:r>
      <w:r>
        <w:t xml:space="preserve"> </w:t>
      </w:r>
      <w:r>
        <w:t xml:space="preserve">El operario DEBE poder acceder al menú de configuración (para elegir modo Manual o Automático, y fijar tiempos)</w:t>
      </w:r>
      <w:r>
        <w:t xml:space="preserve"> </w:t>
      </w:r>
      <w:r>
        <w:rPr>
          <w:b/>
          <w:bCs/>
        </w:rPr>
        <w:t xml:space="preserve">incluso si las radios están apagadas o no hay comunicación con el esclavo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Falla Reportada:</w:t>
      </w:r>
      <w:r>
        <w:t xml:space="preserve"> </w:t>
      </w:r>
      <w:r>
        <w:t xml:space="preserve">Anteriormente, el código bloqueaba el LCD esperando el emparejamiento por radio. Esto es inaceptable en campo. La pantalla debe arrancar de forma asíncrona.</w:t>
      </w:r>
    </w:p>
    <w:bookmarkStart w:id="12" w:name="menú-en-ambos-lados-modo-degradado"/>
    <w:p>
      <w:pPr>
        <w:pStyle w:val="Heading3"/>
      </w:pPr>
      <w:r>
        <w:t xml:space="preserve">Menú en Ambos Lados (Modo Degradado)</w:t>
      </w:r>
    </w:p>
    <w:p>
      <w:pPr>
        <w:pStyle w:val="FirstParagraph"/>
      </w:pPr>
      <w:r>
        <w:t xml:space="preserve">Si el enlace de radio se pierde de forma permanente, los operarios deben poder operar el sistema localmente.</w:t>
      </w:r>
      <w:r>
        <w:t xml:space="preserve"> </w:t>
      </w:r>
      <w:r>
        <w:t xml:space="preserve">- Se recomienda instalar una</w:t>
      </w:r>
      <w:r>
        <w:t xml:space="preserve"> </w:t>
      </w:r>
      <w:r>
        <w:rPr>
          <w:b/>
          <w:bCs/>
        </w:rPr>
        <w:t xml:space="preserve">segunda pantalla LCD</w:t>
      </w:r>
      <w:r>
        <w:t xml:space="preserve"> </w:t>
      </w:r>
      <w:r>
        <w:t xml:space="preserve">en el controlador Esclavo.</w:t>
      </w:r>
      <w:r>
        <w:t xml:space="preserve"> </w:t>
      </w:r>
      <w:r>
        <w:t xml:space="preserve">- Esto permitirá que, ante la pérdida total de radio, se active el</w:t>
      </w:r>
      <w:r>
        <w:t xml:space="preserve"> </w:t>
      </w:r>
      <w:r>
        <w:t xml:space="preserve">“Modo Reloj (RTC)”</w:t>
      </w:r>
      <w:r>
        <w:t xml:space="preserve">, donde ambos lados se configuran a la misma hora y cambian las luces sincronizadamente sin hablarse entre sí.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mportamiento-ante-fallas-fail-safe"/>
    <w:p>
      <w:pPr>
        <w:pStyle w:val="Heading2"/>
      </w:pPr>
      <w:r>
        <w:t xml:space="preserve">4. Comportamiento ante Fallas (Fail-Safe)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Pérdida de Comunicación:</w:t>
      </w:r>
      <w:r>
        <w:t xml:space="preserve"> </w:t>
      </w:r>
      <w:r>
        <w:t xml:space="preserve">Si el Maestro pierde comunicación (agota 3 reintentos rápidos de 1.5s), AMBOS semáforos asumen la orfandad y pasan de inmediato a 🔴</w:t>
      </w:r>
      <w:r>
        <w:t xml:space="preserve"> </w:t>
      </w:r>
      <w:r>
        <w:rPr>
          <w:b/>
          <w:bCs/>
        </w:rPr>
        <w:t xml:space="preserve">Rojo Intermitente</w:t>
      </w:r>
      <w:r>
        <w:t xml:space="preserve"> </w:t>
      </w:r>
      <w:r>
        <w:t xml:space="preserve">(C_FALLO) para advertir precaución extrema a los conductores.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Auto-Recuperación Inteligente (Self-Healing):</w:t>
      </w:r>
      <w:r>
        <w:t xml:space="preserve"> </w:t>
      </w:r>
      <w:r>
        <w:t xml:space="preserve">Si la comunicación vuelve (el camión que tapaba la señal avanza, o la lluvia pasa), el sistema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da verde de inmediato. Por seguridad estricta, obliga a ambas vías a permanecer en Rojo Fijo durante todo el</w:t>
      </w:r>
      <w:r>
        <w:t xml:space="preserve"> </w:t>
      </w:r>
      <w:r>
        <w:t xml:space="preserve">“Tiempo de Despeje”</w:t>
      </w:r>
      <w:r>
        <w:t xml:space="preserve"> </w:t>
      </w:r>
      <w:r>
        <w:t xml:space="preserve">configurado, asegurando que cualquier auto atrapado en el medio de la falla salga ileso.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Cuelgue de Procesador (Ruido EMI):</w:t>
      </w:r>
      <w:r>
        <w:t xml:space="preserve"> </w:t>
      </w:r>
      <w:r>
        <w:t xml:space="preserve">Si la placa STM32 se traba por estática, el Watchdog interno la reiniciará en &lt;2 segundos apagando todas las luces y llevándolas a Rojo.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Falla de Hardware (Corto de Transistor):</w:t>
      </w:r>
      <w:r>
        <w:t xml:space="preserve"> </w:t>
      </w:r>
      <w:r>
        <w:t xml:space="preserve">El Enclavamiento Lógico en el software prohíbe que el pin Verde encienda si el pin Rojo está activo. Si un operario ve Verde y Rojo encendidos a la vez en campo, sabrá inmediatamente que se quemó un MOSFET (Daño Físico), no es error de código.</w:t>
      </w:r>
    </w:p>
    <w:p>
      <w:r>
        <w:pict>
          <v:rect style="width:0;height:1.5pt" o:hralign="center" o:hrstd="t" o:hr="t"/>
        </w:pict>
      </w:r>
    </w:p>
    <w:bookmarkEnd w:id="14"/>
    <w:bookmarkStart w:id="15" w:name="X15b7b2a50880a22b4d29ce8f9bb3e7206f11b8f"/>
    <w:p>
      <w:pPr>
        <w:pStyle w:val="Heading2"/>
      </w:pPr>
      <w:r>
        <w:t xml:space="preserve">5. Argumentos de Venta y Robustez (</w:t>
      </w:r>
      <w:r>
        <w:t xml:space="preserve">“Selling Points”</w:t>
      </w:r>
      <w:r>
        <w:t xml:space="preserve">)</w:t>
      </w:r>
    </w:p>
    <w:p>
      <w:pPr>
        <w:pStyle w:val="FirstParagraph"/>
      </w:pPr>
      <w:r>
        <w:t xml:space="preserve">Para sustentar la calidad de ingeniería del producto ante clientes, municipios o concesiones viales, destaque las siguientes bondades exclusivas de este sistema: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Protocolo Militar de Alta Penetración:</w:t>
      </w:r>
      <w:r>
        <w:t xml:space="preserve"> </w:t>
      </w:r>
      <w:r>
        <w:t xml:space="preserve">No usamos WiFi ni protocolos comunes. El semáforo transmite su voluntad usando</w:t>
      </w:r>
      <w:r>
        <w:t xml:space="preserve"> </w:t>
      </w:r>
      <w:r>
        <w:rPr>
          <w:b/>
          <w:bCs/>
        </w:rPr>
        <w:t xml:space="preserve">Estructuras Binarias Puras de 4 bytes</w:t>
      </w:r>
      <w:r>
        <w:t xml:space="preserve"> </w:t>
      </w:r>
      <w:r>
        <w:t xml:space="preserve">sobre bandas VHF LoRa a 1 Watt de potencia. Esto garantiza que la orden perfore muros de concreto, vegetación espesa y lluvias torrenciales sin inmutarse, a distancias donde el celular no tiene señal.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Parametrización Dinámica de Obra (Agnóstico a la Distancia):</w:t>
      </w:r>
      <w:r>
        <w:t xml:space="preserve"> </w:t>
      </w:r>
      <w:r>
        <w:t xml:space="preserve">El sistema no asume distancias. El operario puede girar la perilla digital y ordenar un</w:t>
      </w:r>
      <w:r>
        <w:t xml:space="preserve"> </w:t>
      </w:r>
      <w:r>
        <w:t xml:space="preserve">“All-Red”</w:t>
      </w:r>
      <w:r>
        <w:t xml:space="preserve"> </w:t>
      </w:r>
      <w:r>
        <w:t xml:space="preserve">(Despeje de Vía) que dura desde 5 segundos (bacheo local) hasta 16 minutos ininterrumpidos (intervenciones masivas o túneles), salvando vidas de trabajadores y conductores en tramos ciegos.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Resiliencia Automática (Auto-Healing):</w:t>
      </w:r>
      <w:r>
        <w:t xml:space="preserve"> </w:t>
      </w:r>
      <w:r>
        <w:t xml:space="preserve">A diferencia de sistemas baratos que se bloquean ante una chispa o pérdida de señal requiriendo que un técnico vaya al poste a reiniciarlos, este cerebro tiene</w:t>
      </w:r>
      <w:r>
        <w:t xml:space="preserve"> </w:t>
      </w:r>
      <w:r>
        <w:rPr>
          <w:i/>
          <w:iCs/>
        </w:rPr>
        <w:t xml:space="preserve">Self-Healing</w:t>
      </w:r>
      <w:r>
        <w:t xml:space="preserve">. Detecta la caída, se pone en estado seguro para no matar a nadie, y apenas recupera la señal, hace un reseteo espacial (Fresh Start) y reanuda el trabajo solo. Mantenimiento cero en sitio.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Cumplimiento Legal Absoluto:</w:t>
      </w:r>
      <w:r>
        <w:t xml:space="preserve"> </w:t>
      </w:r>
      <w:r>
        <w:t xml:space="preserve">Programado estrictamente bajo el Manual de Señalización Vial MinTransporte (Resolución 2024), garantizando que las secuencias lumínicas y tiempos de frenado protejan jurídicamente a la concesión vial ante cualquier accidente de tránsito.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2026-07-30T14:46:59Z</dcterms:created>
  <dcterms:modified xsi:type="dcterms:W3CDTF">2026-07-30T14:46:59Z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