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~~🛑 </w:t>
      </w:r>
      <w:r>
        <w:rPr>
          <w:b/>
          <w:sz w:val="21"/>
        </w:rPr>
        <w:t>Condicionado a `BLQ-1`: la referencia del ESP32 que llegó a obra sigue SIN LEER.</w:t>
      </w:r>
      <w:r>
        <w:rPr>
          <w:b w:val="0"/>
          <w:sz w:val="21"/>
        </w:rPr>
        <w:t xml:space="preserve">~~ ✅ </w:t>
      </w:r>
      <w:r>
        <w:rPr>
          <w:b/>
          <w:sz w:val="21"/>
        </w:rPr>
        <w:t>`BLQ-1` CERRADO el 31/08 — ver el recuadro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 —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31/08. ESTE MANUAL YA NO BLOQUEA EL MONTAJE 🛑 </w:t>
      </w:r>
      <w:r>
        <w:rPr>
          <w:b/>
          <w:color w:val="960000"/>
          <w:sz w:val="20"/>
        </w:rPr>
        <w:t>Este documento condicionaba a `BLQ-1` el montaje, la compra y hasta su propio diagrama de conexión —en SEIS sitios (`:5`, `:44`, `:211`, `:226-251`, `:253`, `:437`)— por una pregunta que se contestó hace cinco días.</w:t>
      </w:r>
      <w:r>
        <w:rPr>
          <w:b w:val="0"/>
          <w:color w:val="960000"/>
          <w:sz w:val="20"/>
        </w:rPr>
        <w:t xml:space="preserve"> Y es el manual que él mismo describe como *«el único documento de la entrega con dibujo de conexión del módulo»*, así que su bloqueo paraba la instalación entera.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`BR/EDR` y por tanto SPP</w:t>
      </w:r>
      <w:r>
        <w:rPr>
          <w:b w:val="0"/>
          <w:color w:val="960000"/>
          <w:sz w:val="20"/>
        </w:rPr>
        <w:t xml:space="preserve">. Consta cerrado en </w:t>
      </w:r>
      <w:r>
        <w:rPr>
          <w:b/>
          <w:color w:val="960000"/>
          <w:sz w:val="20"/>
        </w:rPr>
        <w:t>`ESTADO.md:151`</w:t>
      </w:r>
      <w:r>
        <w:rPr>
          <w:b w:val="0"/>
          <w:color w:val="960000"/>
          <w:sz w:val="20"/>
        </w:rPr>
        <w:t xml:space="preserve"> (*«CERRADO el 31/08… El apartado 1 del Manual 10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»*), en </w:t>
      </w:r>
      <w:r>
        <w:rPr>
          <w:b/>
          <w:color w:val="960000"/>
          <w:sz w:val="20"/>
        </w:rPr>
        <w:t>`roadmap.md:1509`</w:t>
      </w:r>
      <w:r>
        <w:rPr>
          <w:b w:val="0"/>
          <w:color w:val="960000"/>
          <w:sz w:val="20"/>
        </w:rPr>
        <w:t xml:space="preserve"> (N-107) y en </w:t>
      </w:r>
      <w:r>
        <w:rPr>
          <w:b/>
          <w:color w:val="960000"/>
          <w:sz w:val="20"/>
        </w:rPr>
        <w:t>`15_Lista_de_Compras_Hardware.md:112`</w:t>
      </w:r>
      <w:r>
        <w:rPr>
          <w:b w:val="0"/>
          <w:color w:val="960000"/>
          <w:sz w:val="20"/>
        </w:rPr>
        <w:t>. Y **</w:t>
      </w:r>
      <w:r>
        <w:rPr>
          <w:rFonts w:ascii="Consolas" w:hAnsi="Consolas"/>
          <w:color w:val="960000"/>
          <w:sz w:val="20"/>
        </w:rPr>
        <w:t>14_Manual_App_Movil_IOT_VIAL.md:96</w:t>
      </w:r>
      <w:r>
        <w:rPr>
          <w:b w:val="0"/>
          <w:color w:val="960000"/>
          <w:sz w:val="20"/>
        </w:rPr>
        <w:t xml:space="preserve"> ya lo decía con todas las letras: *«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CERRADO. Si algún documento lo da por abierto, está caducado»*</w:t>
      </w:r>
      <w:r>
        <w:rPr>
          <w:b/>
          <w:color w:val="960000"/>
          <w:sz w:val="20"/>
        </w:rPr>
        <w:t xml:space="preserve"> — éste era ese documento. 🔴 </w:t>
      </w:r>
      <w:r>
        <w:rPr>
          <w:b w:val="0"/>
          <w:color w:val="960000"/>
          <w:sz w:val="20"/>
        </w:rPr>
        <w:t>Y la lección de N-107, que corrige el método que este manual exigía:</w:t>
      </w:r>
      <w:r>
        <w:rPr>
          <w:b/>
          <w:color w:val="960000"/>
          <w:sz w:val="20"/>
        </w:rPr>
        <w:t xml:space="preserve"> `BLQ-1` </w:t>
      </w:r>
      <w:r>
        <w:rPr>
          <w:b w:val="0"/>
          <w:color w:val="960000"/>
          <w:sz w:val="20"/>
        </w:rPr>
        <w:t>no lo cerró el banco leyendo la serigrafía</w:t>
      </w:r>
      <w:r>
        <w:rPr>
          <w:b/>
          <w:color w:val="960000"/>
          <w:sz w:val="20"/>
        </w:rPr>
        <w:t xml:space="preserve">; lo cerró </w:t>
      </w:r>
      <w:r>
        <w:rPr>
          <w:b w:val="0"/>
          <w:color w:val="960000"/>
          <w:sz w:val="20"/>
        </w:rPr>
        <w:t xml:space="preserve">la ficha técnica del artículo comprado**, que ya lo declaraba. *«Antes de declarar algo bloqueado por una medida física, censa qué fuentes escritas pueden responderlo ya. Un bloqueo que se puede levantar leyendo no es un bloqueo.»* </w:t>
      </w:r>
      <w:r>
        <w:rPr>
          <w:b/>
          <w:color w:val="960000"/>
          <w:sz w:val="20"/>
        </w:rPr>
        <w:t>Todo lo que abajo siga marcado ~~🛑 Condicionado a `BLQ-1`~~ describe el mundo anterior al 31/08 y NO bloquea ni el montaje ni la compra.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SÍ sigue bloqueando el montaje, y no es el chip: la línea `A5`, la fuente propia DC-DC 12 V→5 V del ESP32, que NO SE HA PEDIDO.</w:t>
      </w:r>
      <w:r>
        <w:rPr>
          <w:b w:val="0"/>
          <w:color w:val="960000"/>
          <w:sz w:val="20"/>
        </w:rPr>
        <w:t xml:space="preserve"> Sin ella el módulo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 que alimenta al STM32 que gobierna el cruce (§2.3.bis). </w:t>
      </w:r>
      <w:r>
        <w:rPr>
          <w:b/>
          <w:color w:val="960000"/>
          <w:sz w:val="20"/>
        </w:rPr>
        <w:t>`J17` p6 no se conecta.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LA BOTONERA. NO ENCHUFE AQUI EL MODULO.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— el único comando cuyo acuse NO lo emite el STM32 (D-15, 05/09) El reloj es el </w:t>
      </w:r>
      <w:r>
        <w:rPr>
          <w:b/>
          <w:color w:val="960000"/>
          <w:sz w:val="20"/>
        </w:rPr>
        <w:t>DS3231 con pila del ESP32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contesta él</w:t>
      </w:r>
      <w:r>
        <w:rPr>
          <w:b w:val="0"/>
          <w:color w:val="960000"/>
          <w:sz w:val="20"/>
        </w:rPr>
        <w:t xml:space="preserve">, y sus tramas van marcadas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. Las dos puntas del STM32 </w:t>
      </w:r>
      <w:r>
        <w:rPr>
          <w:b/>
          <w:color w:val="960000"/>
          <w:sz w:val="20"/>
        </w:rPr>
        <w:t>reconocen</w:t>
      </w:r>
      <w:r>
        <w:rPr>
          <w:b w:val="0"/>
          <w:color w:val="960000"/>
          <w:sz w:val="20"/>
        </w:rPr>
        <w:t xml:space="preserve"> la orden y la </w:t>
      </w:r>
      <w:r>
        <w:rPr>
          <w:b/>
          <w:color w:val="960000"/>
          <w:sz w:val="20"/>
        </w:rPr>
        <w:t>consumen en silencio</w:t>
      </w:r>
      <w:r>
        <w:rPr>
          <w:b w:val="0"/>
          <w:color w:val="960000"/>
          <w:sz w:val="20"/>
        </w:rPr>
        <w:t xml:space="preserve"> —si no, caería al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y saldría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, que sería otra vez dos respuestas—, y dejan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DETALLE:SET_RTC_LO_ACUSA_EL_PUENTE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orden, un acuse.</w:t>
      </w:r>
      <w:r>
        <w:rPr>
          <w:b w:val="0"/>
          <w:color w:val="960000"/>
          <w:sz w:val="20"/>
        </w:rPr>
        <w:t xml:space="preserve"> Hasta el 05/09 contestaban </w:t>
      </w:r>
      <w:r>
        <w:rPr>
          <w:b/>
          <w:color w:val="960000"/>
          <w:sz w:val="20"/>
        </w:rPr>
        <w:t>los dos aparatos</w:t>
      </w:r>
      <w:r>
        <w:rPr>
          <w:b w:val="0"/>
          <w:color w:val="960000"/>
          <w:sz w:val="20"/>
        </w:rPr>
        <w:t xml:space="preserve">: el puente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(la puso en su DS3231) y el STM32 </w:t>
      </w:r>
      <w:r>
        <w:rPr>
          <w:rFonts w:ascii="Consolas" w:hAnsi="Consolas"/>
          <w:color w:val="960000"/>
          <w:sz w:val="20"/>
        </w:rPr>
        <w:t>DESC:NO_QUEDO_PUESTA</w:t>
      </w:r>
      <w:r>
        <w:rPr>
          <w:b w:val="0"/>
          <w:color w:val="960000"/>
          <w:sz w:val="20"/>
        </w:rPr>
        <w:t xml:space="preserve"> (en el suyo no). </w:t>
      </w:r>
      <w:r>
        <w:rPr>
          <w:b/>
          <w:color w:val="960000"/>
          <w:sz w:val="20"/>
        </w:rPr>
        <w:t>Las dos eran ciertas</w:t>
      </w:r>
      <w:r>
        <w:rPr>
          <w:b w:val="0"/>
          <w:color w:val="960000"/>
          <w:sz w:val="20"/>
        </w:rPr>
        <w:t>, y juntas una contradicción sobre la misma orden.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4.2 Telemetría Periódica ($STATUS) — Emitida cada 2 segundos *(cadencia bajada a </w:t>
      </w:r>
      <w:r>
        <w:rPr>
          <w:b/>
          <w:color w:val="003366"/>
          <w:sz w:val="23"/>
        </w:rPr>
        <w:t>2000 ms</w:t>
      </w:r>
      <w:r>
        <w:rPr>
          <w:b/>
          <w:color w:val="003366"/>
          <w:sz w:val="23"/>
        </w:rPr>
        <w:t xml:space="preserve"> el 04/09, decision del responsable, en las DOS puntas — MEDIDO: </w:t>
      </w:r>
      <w:r>
        <w:rPr>
          <w:rFonts w:ascii="Consolas" w:hAnsi="Consolas"/>
          <w:color w:val="003366"/>
          <w:sz w:val="23"/>
        </w:rPr>
        <w:t>Maestro/src/bluetooth.cpp:851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Esclavo/src/bluetooth.cpp:768</w:t>
      </w:r>
      <w:r>
        <w:rPr>
          <w:b/>
          <w:color w:val="003366"/>
          <w:sz w:val="23"/>
        </w:rPr>
        <w:t>.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C\rangle,PLUMA:\langle P\rangle*\langle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$STATUS,NODE:MAESTRO,SERIE:A3F19C,MODO:AUTO,ESTADO:V1_R2,T:24,RF:98%,RTT:82ms,BAT:12.6,HORA:18:25:00,ESC:ROJO,PLUMA:ARRIBA*41\r\n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`PLUMA` (N-153) — la posición de la talanquera de LA PUNTA QUE EMITE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emiten las DOS</w:t>
      </w:r>
      <w:r>
        <w:rPr>
          <w:b w:val="0"/>
          <w:color w:val="960000"/>
          <w:sz w:val="20"/>
        </w:rPr>
        <w:t xml:space="preserve">, porque las dos placas llevan el motor en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— no es asimétrico como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. Sale del valor que se escribió en el pin, no de recalcular la fórmula. ⚠️ </w:t>
      </w:r>
      <w:r>
        <w:rPr>
          <w:b/>
          <w:color w:val="960000"/>
          <w:sz w:val="20"/>
        </w:rPr>
        <w:t>Con la decisión D-13 habrá ratos de LUZ ROJA CON LA PLUMA ARRIBA</w:t>
      </w:r>
      <w:r>
        <w:rPr>
          <w:b w:val="0"/>
          <w:color w:val="960000"/>
          <w:sz w:val="20"/>
        </w:rPr>
        <w:t xml:space="preserve"> —la cámara ve a alguien debajo y la barrera no baja—.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>, y la app lo dice con esas palabras.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ES ESPECIFICACIÓN, NO ES LO QUE EL FIRMWARE HACE HOY.</w:t>
      </w:r>
      <w:r>
        <w:rPr>
          <w:b w:val="0"/>
          <w:color w:val="960000"/>
          <w:sz w:val="20"/>
        </w:rPr>
        <w:t xml:space="preserve"> Escrito el </w:t>
      </w:r>
      <w:r>
        <w:rPr>
          <w:b/>
          <w:color w:val="960000"/>
          <w:sz w:val="20"/>
        </w:rPr>
        <w:t>31/08/2026</w:t>
      </w:r>
      <w:r>
        <w:rPr>
          <w:b w:val="0"/>
          <w:color w:val="960000"/>
          <w:sz w:val="20"/>
        </w:rPr>
        <w:t xml:space="preserve">. Ninguna línea de esta sección ha pasado banco, y el firmware de hoy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los cinco casos</w:t>
      </w:r>
      <w:r>
        <w:rPr>
          <w:b w:val="0"/>
          <w:color w:val="960000"/>
          <w:sz w:val="20"/>
        </w:rPr>
        <w:t xml:space="preserve">. Mientras esta tabla no esté implementada y vista fallar,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entrada siempre la pide alguien delante del poste (mando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menu.cpp:211</w:t>
            </w:r>
            <w:r>
              <w:rPr>
                <w:b w:val="0"/>
                <w:sz w:val="19"/>
              </w:rPr>
              <w:t>) o el arranque tras corte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 latch</w:t>
      </w:r>
    </w:p>
    <w:p>
      <w:pPr>
        <w:spacing w:after="120"/>
      </w:pPr>
      <w:r>
        <w:rPr>
          <w:b w:val="0"/>
          <w:sz w:val="21"/>
        </w:rPr>
        <w:t xml:space="preserve">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Es decir que el caso real es siempre **alguien delante del poste</w:t>
      </w:r>
    </w:p>
    <w:p>
      <w:pPr>
        <w:spacing w:after="120"/>
      </w:pPr>
      <w:r>
        <w:rPr>
          <w:b w:val="0"/>
          <w:sz w:val="21"/>
        </w:rPr>
        <w:t>entrando en Degradado mientras un ámbar pedido por teléfono sigue vigente**.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